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753" w:rsidRDefault="00153753">
      <w:pPr>
        <w:spacing w:after="160" w:line="259" w:lineRule="auto"/>
        <w:jc w:val="center"/>
        <w:rPr>
          <w:b/>
          <w:sz w:val="28"/>
          <w:szCs w:val="28"/>
        </w:rPr>
      </w:pPr>
      <w:bookmarkStart w:id="0" w:name="_heading=h.gjdgxs" w:colFirst="0" w:colLast="0"/>
      <w:bookmarkEnd w:id="0"/>
    </w:p>
    <w:p w:rsidR="00153753" w:rsidRDefault="00153753">
      <w:pPr>
        <w:spacing w:after="160" w:line="259" w:lineRule="auto"/>
        <w:jc w:val="center"/>
        <w:rPr>
          <w:b/>
          <w:sz w:val="28"/>
          <w:szCs w:val="28"/>
        </w:rPr>
      </w:pPr>
    </w:p>
    <w:p w:rsidR="00153753" w:rsidRDefault="00153753">
      <w:pPr>
        <w:spacing w:after="160" w:line="259" w:lineRule="auto"/>
        <w:jc w:val="center"/>
        <w:rPr>
          <w:b/>
          <w:sz w:val="28"/>
          <w:szCs w:val="28"/>
        </w:rPr>
      </w:pPr>
    </w:p>
    <w:p w:rsidR="00153753" w:rsidRDefault="00153753">
      <w:pPr>
        <w:spacing w:after="160" w:line="259" w:lineRule="auto"/>
        <w:jc w:val="center"/>
        <w:rPr>
          <w:b/>
          <w:sz w:val="28"/>
          <w:szCs w:val="28"/>
        </w:rPr>
      </w:pPr>
    </w:p>
    <w:p w:rsidR="00153753" w:rsidRDefault="00153753">
      <w:pPr>
        <w:spacing w:after="160" w:line="259" w:lineRule="auto"/>
        <w:jc w:val="center"/>
        <w:rPr>
          <w:b/>
          <w:sz w:val="28"/>
          <w:szCs w:val="28"/>
        </w:rPr>
      </w:pPr>
    </w:p>
    <w:p w:rsidR="00153753" w:rsidRDefault="00153753">
      <w:pPr>
        <w:spacing w:after="160" w:line="259" w:lineRule="auto"/>
        <w:jc w:val="center"/>
        <w:rPr>
          <w:b/>
          <w:sz w:val="28"/>
          <w:szCs w:val="28"/>
        </w:rPr>
      </w:pPr>
    </w:p>
    <w:p w:rsidR="00153753" w:rsidRDefault="004C238A">
      <w:pPr>
        <w:spacing w:after="160" w:line="259" w:lineRule="auto"/>
        <w:jc w:val="center"/>
        <w:rPr>
          <w:b/>
          <w:sz w:val="44"/>
          <w:szCs w:val="44"/>
        </w:rPr>
      </w:pPr>
      <w:r>
        <w:rPr>
          <w:b/>
          <w:sz w:val="44"/>
          <w:szCs w:val="44"/>
        </w:rPr>
        <w:t xml:space="preserve">PROTOCOLOS </w:t>
      </w:r>
    </w:p>
    <w:p w:rsidR="00153753" w:rsidRDefault="004C238A">
      <w:pPr>
        <w:spacing w:after="160" w:line="259" w:lineRule="auto"/>
        <w:jc w:val="center"/>
        <w:rPr>
          <w:b/>
          <w:sz w:val="44"/>
          <w:szCs w:val="44"/>
        </w:rPr>
      </w:pPr>
      <w:r>
        <w:rPr>
          <w:b/>
          <w:sz w:val="44"/>
          <w:szCs w:val="44"/>
        </w:rPr>
        <w:t>SERVICIO DE FISIATRÍA</w:t>
      </w:r>
    </w:p>
    <w:p w:rsidR="00153753" w:rsidRDefault="00153753">
      <w:pPr>
        <w:spacing w:after="160" w:line="259" w:lineRule="auto"/>
      </w:pPr>
    </w:p>
    <w:p w:rsidR="00153753" w:rsidRDefault="00153753"/>
    <w:p w:rsidR="00153753" w:rsidRDefault="00153753"/>
    <w:p w:rsidR="00153753" w:rsidRDefault="004C238A">
      <w:pPr>
        <w:tabs>
          <w:tab w:val="left" w:pos="5204"/>
        </w:tabs>
      </w:pPr>
      <w:r>
        <w:tab/>
      </w: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Pr>
        <w:spacing w:after="160" w:line="259" w:lineRule="auto"/>
      </w:pPr>
    </w:p>
    <w:p w:rsidR="00153753" w:rsidRDefault="00153753"/>
    <w:p w:rsidR="00153753" w:rsidRDefault="004C238A">
      <w:pPr>
        <w:keepNext/>
        <w:keepLines/>
        <w:pBdr>
          <w:top w:val="nil"/>
          <w:left w:val="nil"/>
          <w:bottom w:val="nil"/>
          <w:right w:val="nil"/>
          <w:between w:val="nil"/>
        </w:pBdr>
        <w:spacing w:before="240" w:after="120" w:line="259" w:lineRule="auto"/>
        <w:ind w:left="142" w:hanging="360"/>
        <w:jc w:val="center"/>
        <w:rPr>
          <w:rFonts w:eastAsia="Arial"/>
          <w:b/>
          <w:color w:val="000000"/>
          <w:sz w:val="18"/>
          <w:szCs w:val="18"/>
        </w:rPr>
      </w:pPr>
      <w:r>
        <w:rPr>
          <w:rFonts w:eastAsia="Arial"/>
          <w:b/>
          <w:color w:val="000000"/>
          <w:sz w:val="18"/>
          <w:szCs w:val="18"/>
        </w:rPr>
        <w:t>CONTENIDO</w:t>
      </w:r>
    </w:p>
    <w:p w:rsidR="00153753" w:rsidRDefault="00153753">
      <w:pPr>
        <w:ind w:left="142"/>
        <w:rPr>
          <w:sz w:val="18"/>
          <w:szCs w:val="18"/>
        </w:rPr>
      </w:pPr>
    </w:p>
    <w:sdt>
      <w:sdtPr>
        <w:id w:val="1286460883"/>
        <w:docPartObj>
          <w:docPartGallery w:val="Table of Contents"/>
          <w:docPartUnique/>
        </w:docPartObj>
      </w:sdtPr>
      <w:sdtEndPr/>
      <w:sdtContent>
        <w:p w:rsidR="00153753" w:rsidRDefault="004C238A">
          <w:pPr>
            <w:pBdr>
              <w:top w:val="nil"/>
              <w:left w:val="nil"/>
              <w:bottom w:val="nil"/>
              <w:right w:val="nil"/>
              <w:between w:val="nil"/>
            </w:pBdr>
            <w:tabs>
              <w:tab w:val="left" w:pos="426"/>
              <w:tab w:val="right" w:pos="8828"/>
            </w:tabs>
            <w:spacing w:after="100"/>
            <w:rPr>
              <w:rFonts w:ascii="Calibri" w:hAnsi="Calibri" w:cs="Calibri"/>
              <w:color w:val="000000"/>
              <w:szCs w:val="22"/>
            </w:rPr>
          </w:pPr>
          <w:r>
            <w:fldChar w:fldCharType="begin"/>
          </w:r>
          <w:r>
            <w:instrText xml:space="preserve"> TOC \h \u \z \t "Heading 1,1,Heading 2,2,Heading 3,3,Heading 4,4,"</w:instrText>
          </w:r>
          <w:r>
            <w:fldChar w:fldCharType="separate"/>
          </w:r>
          <w:hyperlink w:anchor="_heading=h.30j0zll">
            <w:r>
              <w:rPr>
                <w:rFonts w:eastAsia="Arial"/>
                <w:b/>
                <w:color w:val="000000"/>
                <w:sz w:val="20"/>
              </w:rPr>
              <w:t>I.</w:t>
            </w:r>
          </w:hyperlink>
          <w:hyperlink w:anchor="_heading=h.30j0zll">
            <w:r>
              <w:rPr>
                <w:rFonts w:ascii="Calibri" w:hAnsi="Calibri" w:cs="Calibri"/>
                <w:color w:val="000000"/>
                <w:szCs w:val="22"/>
              </w:rPr>
              <w:tab/>
            </w:r>
          </w:hyperlink>
          <w:r>
            <w:fldChar w:fldCharType="begin"/>
          </w:r>
          <w:r>
            <w:instrText xml:space="preserve"> PAGEREF _heading=h.30j0zll \h </w:instrText>
          </w:r>
          <w:r>
            <w:fldChar w:fldCharType="separate"/>
          </w:r>
          <w:r>
            <w:rPr>
              <w:rFonts w:eastAsia="Arial"/>
              <w:b/>
              <w:color w:val="000000"/>
              <w:sz w:val="20"/>
            </w:rPr>
            <w:t>OSTEOARTROSIS</w:t>
          </w:r>
          <w:r>
            <w:rPr>
              <w:rFonts w:eastAsia="Arial"/>
              <w:b/>
              <w:color w:val="000000"/>
              <w:sz w:val="20"/>
            </w:rPr>
            <w:tab/>
            <w:t>3</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1fob9te">
            <w:r>
              <w:rPr>
                <w:rFonts w:eastAsia="Arial"/>
                <w:color w:val="000000"/>
                <w:sz w:val="20"/>
              </w:rPr>
              <w:t>1.1.</w:t>
            </w:r>
          </w:hyperlink>
          <w:hyperlink w:anchor="_heading=h.1fob9te">
            <w:r>
              <w:rPr>
                <w:rFonts w:ascii="Calibri" w:hAnsi="Calibri" w:cs="Calibri"/>
                <w:color w:val="000000"/>
                <w:szCs w:val="22"/>
              </w:rPr>
              <w:tab/>
            </w:r>
          </w:hyperlink>
          <w:r>
            <w:fldChar w:fldCharType="begin"/>
          </w:r>
          <w:r>
            <w:instrText xml:space="preserve"> PAGEREF _heading=h.1fob9te \h </w:instrText>
          </w:r>
          <w:r>
            <w:fldChar w:fldCharType="separate"/>
          </w:r>
          <w:r>
            <w:rPr>
              <w:rFonts w:eastAsia="Arial"/>
              <w:color w:val="000000"/>
              <w:sz w:val="20"/>
            </w:rPr>
            <w:t>Objetivo</w:t>
          </w:r>
          <w:r>
            <w:rPr>
              <w:rFonts w:eastAsia="Arial"/>
              <w:color w:val="000000"/>
              <w:sz w:val="20"/>
            </w:rPr>
            <w:tab/>
            <w:t>3</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3znysh7">
            <w:r>
              <w:rPr>
                <w:rFonts w:eastAsia="Arial"/>
                <w:color w:val="000000"/>
                <w:sz w:val="20"/>
              </w:rPr>
              <w:t>1.2.</w:t>
            </w:r>
          </w:hyperlink>
          <w:hyperlink w:anchor="_heading=h.3znysh7">
            <w:r>
              <w:rPr>
                <w:rFonts w:ascii="Calibri" w:hAnsi="Calibri" w:cs="Calibri"/>
                <w:color w:val="000000"/>
                <w:szCs w:val="22"/>
              </w:rPr>
              <w:tab/>
            </w:r>
          </w:hyperlink>
          <w:r>
            <w:fldChar w:fldCharType="begin"/>
          </w:r>
          <w:r>
            <w:instrText xml:space="preserve"> PAGEREF _heading=h.3znysh7 \h </w:instrText>
          </w:r>
          <w:r>
            <w:fldChar w:fldCharType="separate"/>
          </w:r>
          <w:r>
            <w:rPr>
              <w:rFonts w:eastAsia="Arial"/>
              <w:color w:val="000000"/>
              <w:sz w:val="20"/>
            </w:rPr>
            <w:t>Alcance</w:t>
          </w:r>
          <w:r>
            <w:rPr>
              <w:rFonts w:eastAsia="Arial"/>
              <w:color w:val="000000"/>
              <w:sz w:val="20"/>
            </w:rPr>
            <w:tab/>
            <w:t>3</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2et92p0">
            <w:r>
              <w:rPr>
                <w:rFonts w:eastAsia="Arial"/>
                <w:color w:val="000000"/>
                <w:sz w:val="20"/>
              </w:rPr>
              <w:t>1.3.</w:t>
            </w:r>
          </w:hyperlink>
          <w:hyperlink w:anchor="_heading=h.2et92p0">
            <w:r>
              <w:rPr>
                <w:rFonts w:ascii="Calibri" w:hAnsi="Calibri" w:cs="Calibri"/>
                <w:color w:val="000000"/>
                <w:szCs w:val="22"/>
              </w:rPr>
              <w:tab/>
            </w:r>
          </w:hyperlink>
          <w:r>
            <w:fldChar w:fldCharType="begin"/>
          </w:r>
          <w:r>
            <w:instrText xml:space="preserve"> PAGEREF _heading=h.2et92p0 \h </w:instrText>
          </w:r>
          <w:r>
            <w:fldChar w:fldCharType="separate"/>
          </w:r>
          <w:r>
            <w:rPr>
              <w:rFonts w:eastAsia="Arial"/>
              <w:color w:val="000000"/>
              <w:sz w:val="20"/>
            </w:rPr>
            <w:t>Responsable</w:t>
          </w:r>
          <w:r>
            <w:rPr>
              <w:rFonts w:eastAsia="Arial"/>
              <w:color w:val="000000"/>
              <w:sz w:val="20"/>
            </w:rPr>
            <w:tab/>
            <w:t>3</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tyjcwt">
            <w:r>
              <w:rPr>
                <w:rFonts w:eastAsia="Arial"/>
                <w:color w:val="000000"/>
                <w:sz w:val="20"/>
              </w:rPr>
              <w:t>1.4.</w:t>
            </w:r>
          </w:hyperlink>
          <w:hyperlink w:anchor="_heading=h.tyjcwt">
            <w:r>
              <w:rPr>
                <w:rFonts w:ascii="Calibri" w:hAnsi="Calibri" w:cs="Calibri"/>
                <w:color w:val="000000"/>
                <w:szCs w:val="22"/>
              </w:rPr>
              <w:tab/>
            </w:r>
          </w:hyperlink>
          <w:r>
            <w:fldChar w:fldCharType="begin"/>
          </w:r>
          <w:r>
            <w:instrText xml:space="preserve"> PAGEREF _heading=h.tyjcwt \h </w:instrText>
          </w:r>
          <w:r>
            <w:fldChar w:fldCharType="separate"/>
          </w:r>
          <w:r>
            <w:rPr>
              <w:rFonts w:eastAsia="Arial"/>
              <w:color w:val="000000"/>
              <w:sz w:val="20"/>
            </w:rPr>
            <w:t>Definiciones.</w:t>
          </w:r>
          <w:r>
            <w:rPr>
              <w:rFonts w:eastAsia="Arial"/>
              <w:color w:val="000000"/>
              <w:sz w:val="20"/>
            </w:rPr>
            <w:tab/>
            <w:t>3</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3dy6vkm">
            <w:r>
              <w:rPr>
                <w:rFonts w:eastAsia="Arial"/>
                <w:color w:val="000000"/>
                <w:sz w:val="20"/>
              </w:rPr>
              <w:t>1.5.</w:t>
            </w:r>
          </w:hyperlink>
          <w:hyperlink w:anchor="_heading=h.3dy6vkm">
            <w:r>
              <w:rPr>
                <w:rFonts w:ascii="Calibri" w:hAnsi="Calibri" w:cs="Calibri"/>
                <w:color w:val="000000"/>
                <w:szCs w:val="22"/>
              </w:rPr>
              <w:tab/>
            </w:r>
          </w:hyperlink>
          <w:r>
            <w:fldChar w:fldCharType="begin"/>
          </w:r>
          <w:r>
            <w:instrText xml:space="preserve"> PAGEREF _heading=h.3dy6vkm \h </w:instrText>
          </w:r>
          <w:r>
            <w:fldChar w:fldCharType="separate"/>
          </w:r>
          <w:r>
            <w:rPr>
              <w:rFonts w:eastAsia="Arial"/>
              <w:color w:val="000000"/>
              <w:sz w:val="20"/>
            </w:rPr>
            <w:t>Desarrollo</w:t>
          </w:r>
          <w:r>
            <w:rPr>
              <w:rFonts w:eastAsia="Arial"/>
              <w:color w:val="000000"/>
              <w:sz w:val="20"/>
            </w:rPr>
            <w:tab/>
            <w:t>3</w:t>
          </w:r>
          <w:r>
            <w:fldChar w:fldCharType="end"/>
          </w:r>
        </w:p>
        <w:p w:rsidR="00153753" w:rsidRDefault="004C238A">
          <w:pPr>
            <w:pBdr>
              <w:top w:val="nil"/>
              <w:left w:val="nil"/>
              <w:bottom w:val="nil"/>
              <w:right w:val="nil"/>
              <w:between w:val="nil"/>
            </w:pBdr>
            <w:tabs>
              <w:tab w:val="left" w:pos="426"/>
              <w:tab w:val="right" w:pos="8828"/>
            </w:tabs>
            <w:spacing w:after="100"/>
            <w:rPr>
              <w:rFonts w:ascii="Calibri" w:hAnsi="Calibri" w:cs="Calibri"/>
              <w:color w:val="000000"/>
              <w:szCs w:val="22"/>
            </w:rPr>
          </w:pPr>
          <w:hyperlink w:anchor="_heading=h.1t3h5sf">
            <w:r>
              <w:rPr>
                <w:rFonts w:eastAsia="Arial"/>
                <w:b/>
                <w:color w:val="000000"/>
                <w:sz w:val="20"/>
              </w:rPr>
              <w:t>II.</w:t>
            </w:r>
          </w:hyperlink>
          <w:hyperlink w:anchor="_heading=h.1t3h5sf">
            <w:r>
              <w:rPr>
                <w:rFonts w:ascii="Calibri" w:hAnsi="Calibri" w:cs="Calibri"/>
                <w:color w:val="000000"/>
                <w:szCs w:val="22"/>
              </w:rPr>
              <w:tab/>
            </w:r>
          </w:hyperlink>
          <w:r>
            <w:fldChar w:fldCharType="begin"/>
          </w:r>
          <w:r>
            <w:instrText xml:space="preserve"> PAGEREF _heading=h.1t3h5sf \h </w:instrText>
          </w:r>
          <w:r>
            <w:fldChar w:fldCharType="separate"/>
          </w:r>
          <w:r>
            <w:rPr>
              <w:rFonts w:eastAsia="Arial"/>
              <w:b/>
              <w:color w:val="000000"/>
              <w:sz w:val="20"/>
            </w:rPr>
            <w:t>EPICONDILITIS</w:t>
          </w:r>
          <w:r>
            <w:rPr>
              <w:rFonts w:eastAsia="Arial"/>
              <w:b/>
              <w:color w:val="000000"/>
              <w:sz w:val="20"/>
            </w:rPr>
            <w:tab/>
            <w:t>10</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4d34og8">
            <w:r>
              <w:rPr>
                <w:rFonts w:eastAsia="Arial"/>
                <w:color w:val="000000"/>
                <w:sz w:val="20"/>
              </w:rPr>
              <w:t>2.1.</w:t>
            </w:r>
          </w:hyperlink>
          <w:hyperlink w:anchor="_heading=h.4d34og8">
            <w:r>
              <w:rPr>
                <w:rFonts w:ascii="Calibri" w:hAnsi="Calibri" w:cs="Calibri"/>
                <w:color w:val="000000"/>
                <w:szCs w:val="22"/>
              </w:rPr>
              <w:tab/>
            </w:r>
          </w:hyperlink>
          <w:r>
            <w:fldChar w:fldCharType="begin"/>
          </w:r>
          <w:r>
            <w:instrText xml:space="preserve"> PAGEREF _heading=h.4d34og8 \h </w:instrText>
          </w:r>
          <w:r>
            <w:fldChar w:fldCharType="separate"/>
          </w:r>
          <w:r>
            <w:rPr>
              <w:rFonts w:eastAsia="Arial"/>
              <w:color w:val="000000"/>
              <w:sz w:val="20"/>
            </w:rPr>
            <w:t>Objetivo</w:t>
          </w:r>
          <w:r>
            <w:rPr>
              <w:rFonts w:eastAsia="Arial"/>
              <w:color w:val="000000"/>
              <w:sz w:val="20"/>
            </w:rPr>
            <w:tab/>
            <w:t>10</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2s8eyo1">
            <w:r>
              <w:rPr>
                <w:rFonts w:eastAsia="Arial"/>
                <w:color w:val="000000"/>
                <w:sz w:val="20"/>
              </w:rPr>
              <w:t>2.2.</w:t>
            </w:r>
          </w:hyperlink>
          <w:hyperlink w:anchor="_heading=h.2s8eyo1">
            <w:r>
              <w:rPr>
                <w:rFonts w:ascii="Calibri" w:hAnsi="Calibri" w:cs="Calibri"/>
                <w:color w:val="000000"/>
                <w:szCs w:val="22"/>
              </w:rPr>
              <w:tab/>
            </w:r>
          </w:hyperlink>
          <w:r>
            <w:fldChar w:fldCharType="begin"/>
          </w:r>
          <w:r>
            <w:instrText xml:space="preserve"> PAGEREF _heading=h.2s8eyo1 \h </w:instrText>
          </w:r>
          <w:r>
            <w:fldChar w:fldCharType="separate"/>
          </w:r>
          <w:r>
            <w:rPr>
              <w:rFonts w:eastAsia="Arial"/>
              <w:color w:val="000000"/>
              <w:sz w:val="20"/>
            </w:rPr>
            <w:t>Alcance</w:t>
          </w:r>
          <w:r>
            <w:rPr>
              <w:rFonts w:eastAsia="Arial"/>
              <w:color w:val="000000"/>
              <w:sz w:val="20"/>
            </w:rPr>
            <w:tab/>
            <w:t>10</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17dp8vu">
            <w:r>
              <w:rPr>
                <w:rFonts w:eastAsia="Arial"/>
                <w:color w:val="000000"/>
                <w:sz w:val="20"/>
              </w:rPr>
              <w:t>2.3.</w:t>
            </w:r>
          </w:hyperlink>
          <w:hyperlink w:anchor="_heading=h.17dp8vu">
            <w:r>
              <w:rPr>
                <w:rFonts w:ascii="Calibri" w:hAnsi="Calibri" w:cs="Calibri"/>
                <w:color w:val="000000"/>
                <w:szCs w:val="22"/>
              </w:rPr>
              <w:tab/>
            </w:r>
          </w:hyperlink>
          <w:r>
            <w:fldChar w:fldCharType="begin"/>
          </w:r>
          <w:r>
            <w:instrText xml:space="preserve"> PAGEREF _heading=h.17dp8vu \h </w:instrText>
          </w:r>
          <w:r>
            <w:fldChar w:fldCharType="separate"/>
          </w:r>
          <w:r>
            <w:rPr>
              <w:rFonts w:eastAsia="Arial"/>
              <w:color w:val="000000"/>
              <w:sz w:val="20"/>
            </w:rPr>
            <w:t>Responsable</w:t>
          </w:r>
          <w:r>
            <w:rPr>
              <w:rFonts w:eastAsia="Arial"/>
              <w:color w:val="000000"/>
              <w:sz w:val="20"/>
            </w:rPr>
            <w:tab/>
            <w:t>10</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3rdcrjn">
            <w:r>
              <w:rPr>
                <w:rFonts w:eastAsia="Arial"/>
                <w:color w:val="000000"/>
                <w:sz w:val="20"/>
              </w:rPr>
              <w:t>2.5.</w:t>
            </w:r>
          </w:hyperlink>
          <w:hyperlink w:anchor="_heading=h.3rdcrjn">
            <w:r>
              <w:rPr>
                <w:rFonts w:ascii="Calibri" w:hAnsi="Calibri" w:cs="Calibri"/>
                <w:color w:val="000000"/>
                <w:szCs w:val="22"/>
              </w:rPr>
              <w:tab/>
            </w:r>
          </w:hyperlink>
          <w:r>
            <w:fldChar w:fldCharType="begin"/>
          </w:r>
          <w:r>
            <w:instrText xml:space="preserve"> PAGEREF _heading=h.3rdcrjn \h </w:instrText>
          </w:r>
          <w:r>
            <w:fldChar w:fldCharType="separate"/>
          </w:r>
          <w:r>
            <w:rPr>
              <w:rFonts w:eastAsia="Arial"/>
              <w:color w:val="000000"/>
              <w:sz w:val="20"/>
            </w:rPr>
            <w:t>Desarrollo</w:t>
          </w:r>
          <w:r>
            <w:rPr>
              <w:rFonts w:eastAsia="Arial"/>
              <w:color w:val="000000"/>
              <w:sz w:val="20"/>
            </w:rPr>
            <w:tab/>
            <w:t>10</w:t>
          </w:r>
          <w:r>
            <w:fldChar w:fldCharType="end"/>
          </w:r>
        </w:p>
        <w:p w:rsidR="00153753" w:rsidRDefault="004C238A">
          <w:pPr>
            <w:pBdr>
              <w:top w:val="nil"/>
              <w:left w:val="nil"/>
              <w:bottom w:val="nil"/>
              <w:right w:val="nil"/>
              <w:between w:val="nil"/>
            </w:pBdr>
            <w:tabs>
              <w:tab w:val="left" w:pos="426"/>
              <w:tab w:val="right" w:pos="8828"/>
            </w:tabs>
            <w:spacing w:after="100"/>
            <w:rPr>
              <w:rFonts w:ascii="Calibri" w:hAnsi="Calibri" w:cs="Calibri"/>
              <w:color w:val="000000"/>
              <w:szCs w:val="22"/>
            </w:rPr>
          </w:pPr>
          <w:hyperlink w:anchor="_heading=h.26in1rg">
            <w:r>
              <w:rPr>
                <w:rFonts w:eastAsia="Arial"/>
                <w:b/>
                <w:color w:val="000000"/>
                <w:sz w:val="20"/>
              </w:rPr>
              <w:t>III.</w:t>
            </w:r>
          </w:hyperlink>
          <w:hyperlink w:anchor="_heading=h.26in1rg">
            <w:r>
              <w:rPr>
                <w:rFonts w:ascii="Calibri" w:hAnsi="Calibri" w:cs="Calibri"/>
                <w:color w:val="000000"/>
                <w:szCs w:val="22"/>
              </w:rPr>
              <w:tab/>
            </w:r>
          </w:hyperlink>
          <w:r>
            <w:fldChar w:fldCharType="begin"/>
          </w:r>
          <w:r>
            <w:instrText xml:space="preserve"> PAGEREF _heading=h.26in1rg \h </w:instrText>
          </w:r>
          <w:r>
            <w:fldChar w:fldCharType="separate"/>
          </w:r>
          <w:r>
            <w:rPr>
              <w:rFonts w:eastAsia="Arial"/>
              <w:b/>
              <w:color w:val="000000"/>
              <w:sz w:val="20"/>
            </w:rPr>
            <w:t>CERVICALGIA</w:t>
          </w:r>
          <w:r>
            <w:rPr>
              <w:rFonts w:eastAsia="Arial"/>
              <w:b/>
              <w:color w:val="000000"/>
              <w:sz w:val="20"/>
            </w:rPr>
            <w:tab/>
            <w:t>12</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lnxbz9">
            <w:r>
              <w:rPr>
                <w:rFonts w:eastAsia="Arial"/>
                <w:color w:val="000000"/>
                <w:sz w:val="20"/>
              </w:rPr>
              <w:t>3.1.</w:t>
            </w:r>
          </w:hyperlink>
          <w:hyperlink w:anchor="_heading=h.lnxbz9">
            <w:r>
              <w:rPr>
                <w:rFonts w:ascii="Calibri" w:hAnsi="Calibri" w:cs="Calibri"/>
                <w:color w:val="000000"/>
                <w:szCs w:val="22"/>
              </w:rPr>
              <w:tab/>
            </w:r>
          </w:hyperlink>
          <w:r>
            <w:fldChar w:fldCharType="begin"/>
          </w:r>
          <w:r>
            <w:instrText xml:space="preserve"> PAGEREF _heading=h.lnxbz9 \h </w:instrText>
          </w:r>
          <w:r>
            <w:fldChar w:fldCharType="separate"/>
          </w:r>
          <w:r>
            <w:rPr>
              <w:rFonts w:eastAsia="Arial"/>
              <w:color w:val="000000"/>
              <w:sz w:val="20"/>
            </w:rPr>
            <w:t>Objetivo</w:t>
          </w:r>
          <w:r>
            <w:rPr>
              <w:rFonts w:eastAsia="Arial"/>
              <w:color w:val="000000"/>
              <w:sz w:val="20"/>
            </w:rPr>
            <w:tab/>
            <w:t>12</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lnxbz9">
            <w:r>
              <w:rPr>
                <w:rFonts w:eastAsia="Arial"/>
                <w:color w:val="000000"/>
                <w:sz w:val="20"/>
              </w:rPr>
              <w:t>3.2.</w:t>
            </w:r>
          </w:hyperlink>
          <w:hyperlink w:anchor="_heading=h.lnxbz9">
            <w:r>
              <w:rPr>
                <w:rFonts w:ascii="Calibri" w:hAnsi="Calibri" w:cs="Calibri"/>
                <w:color w:val="000000"/>
                <w:szCs w:val="22"/>
              </w:rPr>
              <w:tab/>
            </w:r>
          </w:hyperlink>
          <w:r>
            <w:fldChar w:fldCharType="begin"/>
          </w:r>
          <w:r>
            <w:instrText xml:space="preserve"> PAGEREF _heading=h.lnxbz9 \h </w:instrText>
          </w:r>
          <w:r>
            <w:fldChar w:fldCharType="separate"/>
          </w:r>
          <w:r>
            <w:rPr>
              <w:rFonts w:eastAsia="Arial"/>
              <w:color w:val="000000"/>
              <w:sz w:val="20"/>
            </w:rPr>
            <w:t>Alcance</w:t>
          </w:r>
          <w:r>
            <w:rPr>
              <w:rFonts w:eastAsia="Arial"/>
              <w:color w:val="000000"/>
              <w:sz w:val="20"/>
            </w:rPr>
            <w:tab/>
            <w:t>12</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35nkun2">
            <w:r>
              <w:rPr>
                <w:rFonts w:eastAsia="Arial"/>
                <w:color w:val="000000"/>
                <w:sz w:val="20"/>
              </w:rPr>
              <w:t>3.3.</w:t>
            </w:r>
          </w:hyperlink>
          <w:hyperlink w:anchor="_heading=h.35nkun2">
            <w:r>
              <w:rPr>
                <w:rFonts w:ascii="Calibri" w:hAnsi="Calibri" w:cs="Calibri"/>
                <w:color w:val="000000"/>
                <w:szCs w:val="22"/>
              </w:rPr>
              <w:tab/>
            </w:r>
          </w:hyperlink>
          <w:r>
            <w:fldChar w:fldCharType="begin"/>
          </w:r>
          <w:r>
            <w:instrText xml:space="preserve"> PAGEREF _heading=h.35nkun2 \h </w:instrText>
          </w:r>
          <w:r>
            <w:fldChar w:fldCharType="separate"/>
          </w:r>
          <w:r>
            <w:rPr>
              <w:rFonts w:eastAsia="Arial"/>
              <w:color w:val="000000"/>
              <w:sz w:val="20"/>
            </w:rPr>
            <w:t>Responsable</w:t>
          </w:r>
          <w:r>
            <w:rPr>
              <w:rFonts w:eastAsia="Arial"/>
              <w:color w:val="000000"/>
              <w:sz w:val="20"/>
            </w:rPr>
            <w:tab/>
            <w:t>12</w:t>
          </w:r>
          <w:r>
            <w:fldChar w:fldCharType="end"/>
          </w:r>
        </w:p>
        <w:p w:rsidR="00153753" w:rsidRDefault="004C238A">
          <w:pPr>
            <w:pBdr>
              <w:top w:val="nil"/>
              <w:left w:val="nil"/>
              <w:bottom w:val="nil"/>
              <w:right w:val="nil"/>
              <w:between w:val="nil"/>
            </w:pBdr>
            <w:tabs>
              <w:tab w:val="left" w:pos="1418"/>
              <w:tab w:val="right" w:pos="8828"/>
            </w:tabs>
            <w:spacing w:after="100"/>
            <w:ind w:left="426"/>
            <w:rPr>
              <w:rFonts w:ascii="Calibri" w:hAnsi="Calibri" w:cs="Calibri"/>
              <w:color w:val="000000"/>
              <w:szCs w:val="22"/>
            </w:rPr>
          </w:pPr>
          <w:hyperlink w:anchor="_heading=h.1ksv4uv">
            <w:r>
              <w:rPr>
                <w:rFonts w:eastAsia="Arial"/>
                <w:color w:val="000000"/>
                <w:sz w:val="20"/>
              </w:rPr>
              <w:t>3.5.</w:t>
            </w:r>
          </w:hyperlink>
          <w:hyperlink w:anchor="_heading=h.1ksv4uv">
            <w:r>
              <w:rPr>
                <w:rFonts w:ascii="Calibri" w:hAnsi="Calibri" w:cs="Calibri"/>
                <w:color w:val="000000"/>
                <w:szCs w:val="22"/>
              </w:rPr>
              <w:tab/>
            </w:r>
          </w:hyperlink>
          <w:r>
            <w:fldChar w:fldCharType="begin"/>
          </w:r>
          <w:r>
            <w:instrText xml:space="preserve"> PAGEREF _heading=h.1ksv4uv \h </w:instrText>
          </w:r>
          <w:r>
            <w:fldChar w:fldCharType="separate"/>
          </w:r>
          <w:r>
            <w:rPr>
              <w:rFonts w:eastAsia="Arial"/>
              <w:color w:val="000000"/>
              <w:sz w:val="20"/>
            </w:rPr>
            <w:t>Desarrollo</w:t>
          </w:r>
          <w:r>
            <w:rPr>
              <w:rFonts w:eastAsia="Arial"/>
              <w:color w:val="000000"/>
              <w:sz w:val="20"/>
            </w:rPr>
            <w:tab/>
            <w:t>12</w:t>
          </w:r>
          <w:r>
            <w:fldChar w:fldCharType="end"/>
          </w:r>
        </w:p>
        <w:p w:rsidR="00153753" w:rsidRDefault="004C238A">
          <w:pPr>
            <w:rPr>
              <w:sz w:val="16"/>
              <w:szCs w:val="16"/>
            </w:rPr>
          </w:pPr>
          <w:r>
            <w:fldChar w:fldCharType="end"/>
          </w:r>
        </w:p>
      </w:sdtContent>
    </w:sdt>
    <w:p w:rsidR="00153753" w:rsidRDefault="00153753">
      <w:pPr>
        <w:rPr>
          <w:sz w:val="16"/>
          <w:szCs w:val="16"/>
        </w:rPr>
      </w:pPr>
    </w:p>
    <w:p w:rsidR="00153753" w:rsidRDefault="004C238A">
      <w:pPr>
        <w:tabs>
          <w:tab w:val="left" w:pos="7801"/>
        </w:tabs>
        <w:rPr>
          <w:sz w:val="16"/>
          <w:szCs w:val="16"/>
        </w:rPr>
      </w:pPr>
      <w:r>
        <w:rPr>
          <w:sz w:val="16"/>
          <w:szCs w:val="16"/>
        </w:rPr>
        <w:tab/>
      </w: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153753">
      <w:pPr>
        <w:tabs>
          <w:tab w:val="left" w:pos="7801"/>
        </w:tabs>
        <w:rPr>
          <w:sz w:val="16"/>
          <w:szCs w:val="16"/>
        </w:rPr>
      </w:pPr>
    </w:p>
    <w:p w:rsidR="00153753" w:rsidRDefault="004C238A">
      <w:pPr>
        <w:pStyle w:val="Ttulo1"/>
        <w:numPr>
          <w:ilvl w:val="0"/>
          <w:numId w:val="11"/>
        </w:numPr>
        <w:ind w:hanging="360"/>
      </w:pPr>
      <w:bookmarkStart w:id="1" w:name="_heading=h.30j0zll" w:colFirst="0" w:colLast="0"/>
      <w:bookmarkEnd w:id="1"/>
      <w:r>
        <w:t>OSTEOARTROSIS</w:t>
      </w:r>
    </w:p>
    <w:p w:rsidR="00153753" w:rsidRDefault="004C238A">
      <w:pPr>
        <w:pBdr>
          <w:top w:val="nil"/>
          <w:left w:val="nil"/>
          <w:bottom w:val="nil"/>
          <w:right w:val="nil"/>
          <w:between w:val="nil"/>
        </w:pBdr>
        <w:ind w:left="720"/>
        <w:jc w:val="both"/>
        <w:rPr>
          <w:rFonts w:eastAsia="Arial"/>
          <w:color w:val="000000"/>
          <w:szCs w:val="22"/>
        </w:rPr>
      </w:pPr>
      <w:r>
        <w:rPr>
          <w:rFonts w:eastAsia="Arial"/>
          <w:color w:val="000000"/>
          <w:szCs w:val="22"/>
        </w:rPr>
        <w:t>La artrosis, osteoartrosis u osteoartritis es una enfermedad producida por el desgaste del cartílago, tejido que hace de amortiguador al proteger los extremos de los huesos y que favorece el movimiento de la articulación. Es la enfermedad articular más fre</w:t>
      </w:r>
      <w:r>
        <w:rPr>
          <w:rFonts w:eastAsia="Arial"/>
          <w:color w:val="000000"/>
          <w:szCs w:val="22"/>
        </w:rPr>
        <w:t>cuente, especialmente entre personas de edad avanzada. Se presenta de forma prematura en personas con enfermedades genéticas que afectan al tejido conectivo, como el síndrome de Ehlers-Danlos y el síndrome de hiperlaxitud articular.</w:t>
      </w:r>
    </w:p>
    <w:p w:rsidR="00153753" w:rsidRDefault="00153753">
      <w:pPr>
        <w:pBdr>
          <w:top w:val="nil"/>
          <w:left w:val="nil"/>
          <w:bottom w:val="nil"/>
          <w:right w:val="nil"/>
          <w:between w:val="nil"/>
        </w:pBdr>
        <w:ind w:left="720"/>
        <w:rPr>
          <w:rFonts w:eastAsia="Arial"/>
          <w:color w:val="000000"/>
          <w:szCs w:val="22"/>
        </w:rPr>
      </w:pPr>
    </w:p>
    <w:p w:rsidR="00153753" w:rsidRDefault="004C238A">
      <w:pPr>
        <w:numPr>
          <w:ilvl w:val="1"/>
          <w:numId w:val="1"/>
        </w:numPr>
        <w:pBdr>
          <w:top w:val="nil"/>
          <w:left w:val="nil"/>
          <w:bottom w:val="nil"/>
          <w:right w:val="nil"/>
          <w:between w:val="nil"/>
        </w:pBdr>
        <w:jc w:val="both"/>
        <w:rPr>
          <w:rFonts w:eastAsia="Arial"/>
          <w:color w:val="000000"/>
          <w:szCs w:val="22"/>
        </w:rPr>
      </w:pPr>
      <w:bookmarkStart w:id="2" w:name="_heading=h.1fob9te" w:colFirst="0" w:colLast="0"/>
      <w:bookmarkEnd w:id="2"/>
      <w:r>
        <w:rPr>
          <w:rFonts w:eastAsia="Arial"/>
          <w:b/>
          <w:color w:val="000000"/>
          <w:szCs w:val="22"/>
        </w:rPr>
        <w:t>Objetivo.</w:t>
      </w:r>
      <w:r>
        <w:rPr>
          <w:rFonts w:eastAsia="Arial"/>
          <w:color w:val="000000"/>
          <w:szCs w:val="22"/>
        </w:rPr>
        <w:t xml:space="preserve"> Establecer los lineamientos para el tratamiento de los pacientes que padecen la enfermedad y que son beneficiarios del Programa de Salud del Grupo Centro Médico y Atención Integral de Salud del FBSCGR.</w:t>
      </w:r>
    </w:p>
    <w:p w:rsidR="00153753" w:rsidRDefault="00153753">
      <w:pPr>
        <w:pBdr>
          <w:top w:val="nil"/>
          <w:left w:val="nil"/>
          <w:bottom w:val="nil"/>
          <w:right w:val="nil"/>
          <w:between w:val="nil"/>
        </w:pBdr>
        <w:ind w:left="360"/>
        <w:jc w:val="both"/>
        <w:rPr>
          <w:rFonts w:eastAsia="Arial"/>
          <w:color w:val="000000"/>
          <w:szCs w:val="22"/>
        </w:rPr>
      </w:pPr>
    </w:p>
    <w:p w:rsidR="00153753" w:rsidRDefault="004C238A">
      <w:pPr>
        <w:numPr>
          <w:ilvl w:val="1"/>
          <w:numId w:val="1"/>
        </w:numPr>
        <w:pBdr>
          <w:top w:val="nil"/>
          <w:left w:val="nil"/>
          <w:bottom w:val="nil"/>
          <w:right w:val="nil"/>
          <w:between w:val="nil"/>
        </w:pBdr>
        <w:jc w:val="both"/>
        <w:rPr>
          <w:rFonts w:eastAsia="Arial"/>
          <w:color w:val="000000"/>
          <w:szCs w:val="22"/>
        </w:rPr>
      </w:pPr>
      <w:bookmarkStart w:id="3" w:name="_heading=h.3znysh7" w:colFirst="0" w:colLast="0"/>
      <w:bookmarkEnd w:id="3"/>
      <w:r>
        <w:rPr>
          <w:rFonts w:eastAsia="Arial"/>
          <w:b/>
          <w:color w:val="000000"/>
          <w:szCs w:val="22"/>
        </w:rPr>
        <w:t>Alcance.</w:t>
      </w:r>
      <w:r>
        <w:rPr>
          <w:rFonts w:eastAsia="Arial"/>
          <w:color w:val="000000"/>
          <w:szCs w:val="22"/>
        </w:rPr>
        <w:t xml:space="preserve"> Este protocolo tiene aplicabilidad en los servicios de fisiatría del grupo Centro Médico y Atención Integral en Salud del FBSCGR</w:t>
      </w:r>
    </w:p>
    <w:p w:rsidR="00153753" w:rsidRDefault="00153753">
      <w:pPr>
        <w:jc w:val="both"/>
      </w:pPr>
    </w:p>
    <w:p w:rsidR="00153753" w:rsidRDefault="004C238A">
      <w:pPr>
        <w:numPr>
          <w:ilvl w:val="1"/>
          <w:numId w:val="1"/>
        </w:numPr>
        <w:pBdr>
          <w:top w:val="nil"/>
          <w:left w:val="nil"/>
          <w:bottom w:val="nil"/>
          <w:right w:val="nil"/>
          <w:between w:val="nil"/>
        </w:pBdr>
        <w:spacing w:line="239" w:lineRule="auto"/>
        <w:ind w:right="100"/>
        <w:jc w:val="both"/>
        <w:rPr>
          <w:rFonts w:eastAsia="Arial"/>
          <w:color w:val="000000"/>
          <w:szCs w:val="22"/>
        </w:rPr>
      </w:pPr>
      <w:bookmarkStart w:id="4" w:name="_heading=h.2et92p0" w:colFirst="0" w:colLast="0"/>
      <w:bookmarkEnd w:id="4"/>
      <w:r>
        <w:rPr>
          <w:rFonts w:eastAsia="Arial"/>
          <w:b/>
          <w:color w:val="000000"/>
          <w:szCs w:val="22"/>
        </w:rPr>
        <w:t xml:space="preserve"> Responsable. </w:t>
      </w:r>
      <w:r>
        <w:rPr>
          <w:rFonts w:eastAsia="Arial"/>
          <w:color w:val="000000"/>
          <w:szCs w:val="22"/>
        </w:rPr>
        <w:t>Profesional Especializado Grado 21.</w:t>
      </w:r>
    </w:p>
    <w:p w:rsidR="00153753" w:rsidRDefault="00153753">
      <w:pPr>
        <w:tabs>
          <w:tab w:val="left" w:pos="519"/>
        </w:tabs>
        <w:spacing w:line="239" w:lineRule="auto"/>
        <w:ind w:right="100"/>
        <w:jc w:val="both"/>
      </w:pPr>
    </w:p>
    <w:p w:rsidR="00153753" w:rsidRDefault="004C238A">
      <w:pPr>
        <w:pStyle w:val="Ttulo2"/>
        <w:numPr>
          <w:ilvl w:val="1"/>
          <w:numId w:val="1"/>
        </w:numPr>
        <w:jc w:val="both"/>
      </w:pPr>
      <w:bookmarkStart w:id="5" w:name="_heading=h.tyjcwt" w:colFirst="0" w:colLast="0"/>
      <w:bookmarkEnd w:id="5"/>
      <w:r>
        <w:t>Definiciones.</w:t>
      </w:r>
    </w:p>
    <w:p w:rsidR="00153753" w:rsidRDefault="00153753"/>
    <w:p w:rsidR="00153753" w:rsidRDefault="004C238A">
      <w:pPr>
        <w:numPr>
          <w:ilvl w:val="2"/>
          <w:numId w:val="1"/>
        </w:numPr>
        <w:pBdr>
          <w:top w:val="nil"/>
          <w:left w:val="nil"/>
          <w:bottom w:val="nil"/>
          <w:right w:val="nil"/>
          <w:between w:val="nil"/>
        </w:pBdr>
        <w:ind w:left="851" w:hanging="567"/>
        <w:jc w:val="both"/>
        <w:rPr>
          <w:rFonts w:eastAsia="Arial"/>
          <w:b/>
          <w:color w:val="000000"/>
          <w:szCs w:val="22"/>
        </w:rPr>
      </w:pPr>
      <w:r>
        <w:rPr>
          <w:rFonts w:eastAsia="Arial"/>
          <w:b/>
          <w:color w:val="000000"/>
          <w:szCs w:val="22"/>
        </w:rPr>
        <w:t>Cartílago</w:t>
      </w:r>
      <w:r>
        <w:rPr>
          <w:rFonts w:eastAsia="Arial"/>
          <w:color w:val="000000"/>
          <w:szCs w:val="22"/>
        </w:rPr>
        <w:t>.  Tejido firme, pero flexible, que cubre los extremos de los huesos en una articulación.</w:t>
      </w:r>
    </w:p>
    <w:p w:rsidR="00153753" w:rsidRDefault="004C238A">
      <w:pPr>
        <w:numPr>
          <w:ilvl w:val="2"/>
          <w:numId w:val="1"/>
        </w:numPr>
        <w:pBdr>
          <w:top w:val="nil"/>
          <w:left w:val="nil"/>
          <w:bottom w:val="nil"/>
          <w:right w:val="nil"/>
          <w:between w:val="nil"/>
        </w:pBdr>
        <w:ind w:left="851" w:hanging="567"/>
        <w:jc w:val="both"/>
        <w:rPr>
          <w:rFonts w:eastAsia="Arial"/>
          <w:b/>
          <w:color w:val="000000"/>
          <w:szCs w:val="22"/>
        </w:rPr>
      </w:pPr>
      <w:r>
        <w:rPr>
          <w:rFonts w:eastAsia="Arial"/>
          <w:b/>
          <w:color w:val="000000"/>
          <w:szCs w:val="22"/>
        </w:rPr>
        <w:t xml:space="preserve">Fricción: </w:t>
      </w:r>
      <w:r>
        <w:rPr>
          <w:rFonts w:eastAsia="Arial"/>
          <w:color w:val="202124"/>
          <w:sz w:val="21"/>
          <w:szCs w:val="21"/>
          <w:highlight w:val="white"/>
        </w:rPr>
        <w:t>Rozamiento entre dos cuerpos en contacto</w:t>
      </w:r>
    </w:p>
    <w:p w:rsidR="00153753" w:rsidRDefault="004C238A">
      <w:pPr>
        <w:numPr>
          <w:ilvl w:val="2"/>
          <w:numId w:val="1"/>
        </w:numPr>
        <w:pBdr>
          <w:top w:val="nil"/>
          <w:left w:val="nil"/>
          <w:bottom w:val="nil"/>
          <w:right w:val="nil"/>
          <w:between w:val="nil"/>
        </w:pBdr>
        <w:ind w:left="851" w:hanging="567"/>
        <w:jc w:val="both"/>
        <w:rPr>
          <w:rFonts w:eastAsia="Arial"/>
          <w:b/>
          <w:color w:val="000000"/>
          <w:szCs w:val="22"/>
        </w:rPr>
      </w:pPr>
      <w:r>
        <w:rPr>
          <w:rFonts w:eastAsia="Arial"/>
          <w:b/>
          <w:color w:val="000000"/>
          <w:szCs w:val="22"/>
        </w:rPr>
        <w:t xml:space="preserve">Síndrome: </w:t>
      </w:r>
      <w:r>
        <w:rPr>
          <w:rFonts w:eastAsia="Arial"/>
          <w:color w:val="202124"/>
          <w:sz w:val="21"/>
          <w:szCs w:val="21"/>
          <w:highlight w:val="white"/>
        </w:rPr>
        <w:t>Conjunto de síntomas que se presentan juntos y son característicos de una enfermedad o de un cuadro patol</w:t>
      </w:r>
      <w:r>
        <w:rPr>
          <w:rFonts w:eastAsia="Arial"/>
          <w:color w:val="202124"/>
          <w:sz w:val="21"/>
          <w:szCs w:val="21"/>
          <w:highlight w:val="white"/>
        </w:rPr>
        <w:t>ógico determinado provocado, en ocasiones, por la concurrencia de más de una enfermedad.</w:t>
      </w:r>
    </w:p>
    <w:p w:rsidR="00153753" w:rsidRDefault="00153753">
      <w:pPr>
        <w:pBdr>
          <w:top w:val="nil"/>
          <w:left w:val="nil"/>
          <w:bottom w:val="nil"/>
          <w:right w:val="nil"/>
          <w:between w:val="nil"/>
        </w:pBdr>
        <w:ind w:left="851" w:hanging="567"/>
        <w:jc w:val="both"/>
        <w:rPr>
          <w:rFonts w:eastAsia="Arial"/>
          <w:b/>
          <w:color w:val="000000"/>
          <w:szCs w:val="22"/>
        </w:rPr>
      </w:pPr>
    </w:p>
    <w:p w:rsidR="00153753" w:rsidRDefault="00153753">
      <w:pPr>
        <w:pBdr>
          <w:top w:val="nil"/>
          <w:left w:val="nil"/>
          <w:bottom w:val="nil"/>
          <w:right w:val="nil"/>
          <w:between w:val="nil"/>
        </w:pBdr>
        <w:ind w:left="720"/>
        <w:rPr>
          <w:rFonts w:eastAsia="Arial"/>
          <w:color w:val="000000"/>
          <w:szCs w:val="22"/>
        </w:rPr>
      </w:pPr>
    </w:p>
    <w:p w:rsidR="00153753" w:rsidRDefault="004C238A">
      <w:pPr>
        <w:pStyle w:val="Ttulo2"/>
        <w:numPr>
          <w:ilvl w:val="1"/>
          <w:numId w:val="10"/>
        </w:numPr>
        <w:ind w:left="567" w:hanging="567"/>
      </w:pPr>
      <w:bookmarkStart w:id="6" w:name="_heading=h.3dy6vkm" w:colFirst="0" w:colLast="0"/>
      <w:bookmarkEnd w:id="6"/>
      <w:r>
        <w:t>Desarrollo</w:t>
      </w:r>
    </w:p>
    <w:p w:rsidR="00153753" w:rsidRDefault="00153753"/>
    <w:p w:rsidR="00153753" w:rsidRDefault="004C238A">
      <w:pPr>
        <w:numPr>
          <w:ilvl w:val="2"/>
          <w:numId w:val="10"/>
        </w:numPr>
        <w:pBdr>
          <w:top w:val="nil"/>
          <w:left w:val="nil"/>
          <w:bottom w:val="nil"/>
          <w:right w:val="nil"/>
          <w:between w:val="nil"/>
        </w:pBdr>
        <w:jc w:val="both"/>
        <w:rPr>
          <w:rFonts w:eastAsia="Arial"/>
          <w:b/>
          <w:color w:val="000000"/>
          <w:szCs w:val="22"/>
        </w:rPr>
      </w:pPr>
      <w:r>
        <w:rPr>
          <w:rFonts w:eastAsia="Arial"/>
          <w:b/>
          <w:color w:val="000000"/>
          <w:szCs w:val="22"/>
        </w:rPr>
        <w:t>Conceptualización.</w:t>
      </w:r>
    </w:p>
    <w:p w:rsidR="00153753" w:rsidRDefault="00153753">
      <w:pPr>
        <w:pBdr>
          <w:top w:val="nil"/>
          <w:left w:val="nil"/>
          <w:bottom w:val="nil"/>
          <w:right w:val="nil"/>
          <w:between w:val="nil"/>
        </w:pBdr>
        <w:ind w:left="862"/>
        <w:jc w:val="both"/>
        <w:rPr>
          <w:rFonts w:eastAsia="Arial"/>
          <w:color w:val="000000"/>
          <w:szCs w:val="22"/>
        </w:rPr>
      </w:pPr>
    </w:p>
    <w:p w:rsidR="00153753" w:rsidRDefault="004C238A">
      <w:pPr>
        <w:spacing w:line="276" w:lineRule="auto"/>
        <w:jc w:val="both"/>
        <w:rPr>
          <w:color w:val="000000"/>
        </w:rPr>
      </w:pPr>
      <w:r>
        <w:rPr>
          <w:color w:val="000000"/>
        </w:rPr>
        <w:t>Epidemiología:</w:t>
      </w:r>
    </w:p>
    <w:p w:rsidR="00153753" w:rsidRDefault="004C238A">
      <w:pPr>
        <w:spacing w:line="276" w:lineRule="auto"/>
        <w:jc w:val="both"/>
        <w:rPr>
          <w:color w:val="000000"/>
        </w:rPr>
      </w:pPr>
      <w:r>
        <w:rPr>
          <w:color w:val="000000"/>
        </w:rPr>
        <w:t>Hasta el 16% de la población, más sintomático en mujeres que en hombres.</w:t>
      </w:r>
    </w:p>
    <w:p w:rsidR="00153753" w:rsidRDefault="00153753">
      <w:pPr>
        <w:spacing w:line="276" w:lineRule="auto"/>
        <w:jc w:val="both"/>
        <w:rPr>
          <w:color w:val="000000"/>
        </w:rPr>
      </w:pPr>
    </w:p>
    <w:p w:rsidR="00153753" w:rsidRDefault="004C238A">
      <w:pPr>
        <w:spacing w:line="276" w:lineRule="auto"/>
        <w:jc w:val="both"/>
        <w:rPr>
          <w:color w:val="000000"/>
        </w:rPr>
      </w:pPr>
      <w:r>
        <w:rPr>
          <w:b/>
          <w:color w:val="000000"/>
        </w:rPr>
        <w:t>Factores de riesgo</w:t>
      </w:r>
    </w:p>
    <w:p w:rsidR="00153753" w:rsidRDefault="004C238A">
      <w:pPr>
        <w:numPr>
          <w:ilvl w:val="0"/>
          <w:numId w:val="2"/>
        </w:numPr>
        <w:spacing w:line="276" w:lineRule="auto"/>
        <w:jc w:val="both"/>
        <w:rPr>
          <w:color w:val="000000"/>
        </w:rPr>
      </w:pPr>
      <w:r>
        <w:rPr>
          <w:color w:val="000000"/>
        </w:rPr>
        <w:t>Edad: personas adultas sobre los 60 años.</w:t>
      </w:r>
    </w:p>
    <w:p w:rsidR="00153753" w:rsidRDefault="004C238A">
      <w:pPr>
        <w:numPr>
          <w:ilvl w:val="0"/>
          <w:numId w:val="2"/>
        </w:numPr>
        <w:spacing w:line="276" w:lineRule="auto"/>
        <w:jc w:val="both"/>
        <w:rPr>
          <w:color w:val="000000"/>
        </w:rPr>
      </w:pPr>
      <w:r>
        <w:rPr>
          <w:color w:val="000000"/>
        </w:rPr>
        <w:t>Sexo: Igual para ambos sexos, pero en las mujeres se presenta a edades más tempranas (45 años).</w:t>
      </w:r>
    </w:p>
    <w:p w:rsidR="00153753" w:rsidRDefault="004C238A">
      <w:pPr>
        <w:numPr>
          <w:ilvl w:val="0"/>
          <w:numId w:val="2"/>
        </w:numPr>
        <w:spacing w:line="276" w:lineRule="auto"/>
        <w:jc w:val="both"/>
        <w:rPr>
          <w:color w:val="000000"/>
        </w:rPr>
      </w:pPr>
      <w:r>
        <w:rPr>
          <w:color w:val="000000"/>
        </w:rPr>
        <w:lastRenderedPageBreak/>
        <w:t>Mujeres: Predomina en la rodilla y en las articulaciones interfalángicas (manos).</w:t>
      </w:r>
    </w:p>
    <w:p w:rsidR="00153753" w:rsidRDefault="004C238A">
      <w:pPr>
        <w:numPr>
          <w:ilvl w:val="0"/>
          <w:numId w:val="2"/>
        </w:numPr>
        <w:spacing w:line="276" w:lineRule="auto"/>
        <w:jc w:val="both"/>
        <w:rPr>
          <w:color w:val="000000"/>
        </w:rPr>
      </w:pPr>
      <w:r>
        <w:rPr>
          <w:color w:val="000000"/>
        </w:rPr>
        <w:t>Hombres: Predomina en la cadera.</w:t>
      </w:r>
    </w:p>
    <w:p w:rsidR="00153753" w:rsidRDefault="004C238A">
      <w:pPr>
        <w:numPr>
          <w:ilvl w:val="0"/>
          <w:numId w:val="2"/>
        </w:numPr>
        <w:spacing w:line="276" w:lineRule="auto"/>
        <w:jc w:val="both"/>
      </w:pPr>
      <w:hyperlink r:id="rId8">
        <w:r>
          <w:rPr>
            <w:color w:val="000000"/>
          </w:rPr>
          <w:t>Obesidad</w:t>
        </w:r>
      </w:hyperlink>
      <w:r>
        <w:t>: Cuadruplica el riesgo si la persona se encuentra por encima del </w:t>
      </w:r>
      <w:hyperlink r:id="rId9">
        <w:r>
          <w:rPr>
            <w:color w:val="000000"/>
          </w:rPr>
          <w:t>IMC</w:t>
        </w:r>
      </w:hyperlink>
      <w:r>
        <w:t> considerado normal.</w:t>
      </w:r>
    </w:p>
    <w:p w:rsidR="00153753" w:rsidRDefault="00153753">
      <w:pPr>
        <w:spacing w:line="276" w:lineRule="auto"/>
        <w:jc w:val="both"/>
        <w:rPr>
          <w:color w:val="000000"/>
        </w:rPr>
      </w:pPr>
    </w:p>
    <w:p w:rsidR="00153753" w:rsidRDefault="004C238A">
      <w:pPr>
        <w:spacing w:line="276" w:lineRule="auto"/>
        <w:jc w:val="both"/>
        <w:rPr>
          <w:b/>
          <w:color w:val="000000"/>
        </w:rPr>
      </w:pPr>
      <w:r>
        <w:rPr>
          <w:b/>
          <w:color w:val="000000"/>
        </w:rPr>
        <w:t>Etiología:</w:t>
      </w:r>
    </w:p>
    <w:p w:rsidR="00153753" w:rsidRDefault="004C238A">
      <w:pPr>
        <w:spacing w:line="276" w:lineRule="auto"/>
        <w:jc w:val="both"/>
        <w:rPr>
          <w:color w:val="000000"/>
        </w:rPr>
      </w:pPr>
      <w:r>
        <w:rPr>
          <w:color w:val="000000"/>
        </w:rPr>
        <w:t>No se sabe a</w:t>
      </w:r>
      <w:r>
        <w:rPr>
          <w:color w:val="000000"/>
        </w:rPr>
        <w:t>ún con certeza cuál es la causa, algunos autores sostienen que es parte del proceso normal de envejecimiento.</w:t>
      </w:r>
    </w:p>
    <w:p w:rsidR="00153753" w:rsidRDefault="00153753">
      <w:pPr>
        <w:spacing w:line="276" w:lineRule="auto"/>
        <w:jc w:val="both"/>
        <w:rPr>
          <w:color w:val="000000"/>
        </w:rPr>
      </w:pPr>
    </w:p>
    <w:p w:rsidR="00153753" w:rsidRDefault="004C238A">
      <w:pPr>
        <w:spacing w:line="276" w:lineRule="auto"/>
        <w:jc w:val="both"/>
        <w:rPr>
          <w:b/>
          <w:color w:val="000000"/>
        </w:rPr>
      </w:pPr>
      <w:r>
        <w:rPr>
          <w:b/>
          <w:color w:val="000000"/>
        </w:rPr>
        <w:t>Patogenia:</w:t>
      </w:r>
    </w:p>
    <w:p w:rsidR="00153753" w:rsidRDefault="00153753">
      <w:pPr>
        <w:spacing w:line="276" w:lineRule="auto"/>
        <w:jc w:val="both"/>
        <w:rPr>
          <w:b/>
          <w:color w:val="000000"/>
        </w:rPr>
      </w:pPr>
    </w:p>
    <w:p w:rsidR="00153753" w:rsidRDefault="004C238A">
      <w:pPr>
        <w:spacing w:line="276" w:lineRule="auto"/>
        <w:jc w:val="both"/>
      </w:pPr>
      <w:r>
        <w:t>En la artrosis, la superficie del cartílago se rompe y se desgasta, lo que provoca que los </w:t>
      </w:r>
      <w:hyperlink r:id="rId10">
        <w:r>
          <w:rPr>
            <w:color w:val="000000"/>
          </w:rPr>
          <w:t>huesos</w:t>
        </w:r>
      </w:hyperlink>
      <w:r>
        <w:t xml:space="preserve">  se muevan el uno contra el otro y se  genere </w:t>
      </w:r>
      <w:hyperlink r:id="rId11">
        <w:r>
          <w:rPr>
            <w:color w:val="000000"/>
          </w:rPr>
          <w:t>fricción</w:t>
        </w:r>
      </w:hyperlink>
      <w:r>
        <w:t>, </w:t>
      </w:r>
      <w:hyperlink r:id="rId12">
        <w:r>
          <w:rPr>
            <w:color w:val="000000"/>
          </w:rPr>
          <w:t>dolor</w:t>
        </w:r>
      </w:hyperlink>
      <w:r>
        <w:t> y pérdida de mov</w:t>
      </w:r>
      <w:r>
        <w:t xml:space="preserve">imiento en la articulación. Con el tiempo, la articulación llega a perder su forma original, y puede llevar a discapacidad severa. </w:t>
      </w:r>
    </w:p>
    <w:p w:rsidR="00153753" w:rsidRDefault="004C238A">
      <w:pPr>
        <w:spacing w:line="276" w:lineRule="auto"/>
        <w:jc w:val="both"/>
      </w:pPr>
      <w:r>
        <w:t>La artrosis puede afectar a cualquier articulación del cuerpo. No obstante, las más frecuentes son la artrosis de las vérteb</w:t>
      </w:r>
      <w:r>
        <w:t>ras, que suele afectar al </w:t>
      </w:r>
      <w:hyperlink r:id="rId13">
        <w:r>
          <w:rPr>
            <w:color w:val="000000"/>
          </w:rPr>
          <w:t>cuello</w:t>
        </w:r>
      </w:hyperlink>
      <w:r>
        <w:t xml:space="preserve"> (artrosis cervical) y la zona baja de la espalda (artrosis </w:t>
      </w:r>
      <w:hyperlink r:id="rId14" w:anchor="regi.C3.B3n_lumbar">
        <w:r>
          <w:rPr>
            <w:color w:val="000000"/>
          </w:rPr>
          <w:t>lumbar</w:t>
        </w:r>
      </w:hyperlink>
      <w:r>
        <w:t>); la artrosis de la </w:t>
      </w:r>
      <w:hyperlink r:id="rId15">
        <w:r>
          <w:rPr>
            <w:color w:val="000000"/>
          </w:rPr>
          <w:t>cadera</w:t>
        </w:r>
      </w:hyperlink>
      <w:r>
        <w:t> y la </w:t>
      </w:r>
      <w:hyperlink r:id="rId16">
        <w:r>
          <w:rPr>
            <w:color w:val="000000"/>
          </w:rPr>
          <w:t>rodilla</w:t>
        </w:r>
      </w:hyperlink>
      <w:r>
        <w:t>, y la artrosis de </w:t>
      </w:r>
      <w:hyperlink r:id="rId17">
        <w:r>
          <w:rPr>
            <w:color w:val="000000"/>
          </w:rPr>
          <w:t>manos</w:t>
        </w:r>
      </w:hyperlink>
      <w:r>
        <w:t>, t</w:t>
      </w:r>
      <w:r>
        <w:t>rapecio-metacarpiana (rizartrosis) y </w:t>
      </w:r>
      <w:hyperlink r:id="rId18">
        <w:r>
          <w:rPr>
            <w:color w:val="000000"/>
          </w:rPr>
          <w:t>pies</w:t>
        </w:r>
      </w:hyperlink>
      <w:r>
        <w:t>, que suele presentarse a partir de los 50 años.</w:t>
      </w:r>
    </w:p>
    <w:p w:rsidR="00153753" w:rsidRDefault="00153753">
      <w:pPr>
        <w:spacing w:line="276" w:lineRule="auto"/>
        <w:jc w:val="both"/>
      </w:pPr>
    </w:p>
    <w:p w:rsidR="00153753" w:rsidRDefault="004C238A">
      <w:pPr>
        <w:spacing w:line="276" w:lineRule="auto"/>
        <w:jc w:val="both"/>
        <w:rPr>
          <w:b/>
        </w:rPr>
      </w:pPr>
      <w:r>
        <w:rPr>
          <w:b/>
        </w:rPr>
        <w:t>Clasificación:</w:t>
      </w:r>
    </w:p>
    <w:p w:rsidR="00153753" w:rsidRDefault="00153753">
      <w:pPr>
        <w:spacing w:line="276" w:lineRule="auto"/>
        <w:jc w:val="both"/>
        <w:rPr>
          <w:b/>
        </w:rPr>
      </w:pPr>
    </w:p>
    <w:p w:rsidR="00153753" w:rsidRDefault="004C238A">
      <w:pPr>
        <w:spacing w:line="276" w:lineRule="auto"/>
        <w:jc w:val="both"/>
      </w:pPr>
      <w:r>
        <w:t>Desde 1983 se encuentra en vigor la  clasificación de artrosis propuesta por el </w:t>
      </w:r>
      <w:hyperlink r:id="rId19">
        <w:r>
          <w:rPr>
            <w:color w:val="000000"/>
          </w:rPr>
          <w:t>Colegio Estadounidense de Reumatología</w:t>
        </w:r>
      </w:hyperlink>
      <w:r>
        <w:t> (</w:t>
      </w:r>
      <w:hyperlink r:id="rId20">
        <w:r>
          <w:rPr>
            <w:color w:val="000000"/>
          </w:rPr>
          <w:t>ACR</w:t>
        </w:r>
      </w:hyperlink>
      <w:r>
        <w:t>), que distinguía la artros</w:t>
      </w:r>
      <w:r>
        <w:t>is primaria de la secundaria. La artrosis primaria se definía como una expresión de la degeneración idiopática en articulaciones previamente sanas y en correctas condiciones, sin un claro mecanismo causal.</w:t>
      </w:r>
    </w:p>
    <w:p w:rsidR="00153753" w:rsidRDefault="004C238A">
      <w:pPr>
        <w:spacing w:line="276" w:lineRule="auto"/>
        <w:jc w:val="both"/>
      </w:pPr>
      <w:r>
        <w:t>Durante los últimos años una gran cantidad de prue</w:t>
      </w:r>
      <w:r>
        <w:t>bas han proporcionado nuevos conocimientos sobre la </w:t>
      </w:r>
      <w:hyperlink r:id="rId21">
        <w:r>
          <w:rPr>
            <w:color w:val="000000"/>
          </w:rPr>
          <w:t>bioquímica</w:t>
        </w:r>
      </w:hyperlink>
      <w:r>
        <w:t> y la </w:t>
      </w:r>
      <w:hyperlink r:id="rId22">
        <w:r>
          <w:rPr>
            <w:color w:val="000000"/>
          </w:rPr>
          <w:t>biología molecular</w:t>
        </w:r>
      </w:hyperlink>
      <w:r>
        <w:t> del </w:t>
      </w:r>
      <w:hyperlink r:id="rId23">
        <w:r>
          <w:rPr>
            <w:color w:val="000000"/>
          </w:rPr>
          <w:t>cartílago</w:t>
        </w:r>
      </w:hyperlink>
      <w:r>
        <w:t>, el </w:t>
      </w:r>
      <w:hyperlink r:id="rId24">
        <w:r>
          <w:rPr>
            <w:color w:val="000000"/>
          </w:rPr>
          <w:t>hueso subcondral</w:t>
        </w:r>
      </w:hyperlink>
      <w:r>
        <w:t> y otros tejidos articulares, lo que sugiere diferentes mecanismos etiopatogénicos en al</w:t>
      </w:r>
      <w:r>
        <w:t>gunas formas de artrosis primaria. Por tanto, con los últimos conocimientos científicos no debe considerarse en la actualidad la artrosis primaria como de causa desconocida.</w:t>
      </w:r>
    </w:p>
    <w:p w:rsidR="00153753" w:rsidRDefault="004C238A">
      <w:pPr>
        <w:spacing w:line="276" w:lineRule="auto"/>
        <w:jc w:val="both"/>
      </w:pPr>
      <w:r>
        <w:t>Gracias a los mayores conocimientos sobre la artrosis se está modificando el crite</w:t>
      </w:r>
      <w:r>
        <w:t>rio de clasificación.</w:t>
      </w:r>
    </w:p>
    <w:p w:rsidR="00153753" w:rsidRDefault="004C238A">
      <w:pPr>
        <w:spacing w:line="276" w:lineRule="auto"/>
        <w:jc w:val="both"/>
      </w:pPr>
      <w:r>
        <w:t>El grupo de Herrero-Beaumount ha propuesto una nueva clasificación etiopatogénica de la artrosis primaria a la luz de los importantes avances que se han producido en este campo de la patología, distinguiendo tres tipos etiológicos int</w:t>
      </w:r>
      <w:r>
        <w:t>egrando la artrosis primaria:</w:t>
      </w:r>
    </w:p>
    <w:p w:rsidR="00153753" w:rsidRDefault="004C238A">
      <w:pPr>
        <w:numPr>
          <w:ilvl w:val="0"/>
          <w:numId w:val="3"/>
        </w:numPr>
        <w:spacing w:line="276" w:lineRule="auto"/>
        <w:jc w:val="both"/>
      </w:pPr>
      <w:r>
        <w:t>La artrosis tipo I, de causa genética.</w:t>
      </w:r>
    </w:p>
    <w:p w:rsidR="00153753" w:rsidRDefault="004C238A">
      <w:pPr>
        <w:numPr>
          <w:ilvl w:val="0"/>
          <w:numId w:val="3"/>
        </w:numPr>
        <w:spacing w:line="276" w:lineRule="auto"/>
        <w:jc w:val="both"/>
      </w:pPr>
      <w:r>
        <w:lastRenderedPageBreak/>
        <w:t>La artrosis tipo II, hormono dependiente (postmenopáusica).</w:t>
      </w:r>
    </w:p>
    <w:p w:rsidR="00153753" w:rsidRDefault="004C238A">
      <w:pPr>
        <w:numPr>
          <w:ilvl w:val="0"/>
          <w:numId w:val="3"/>
        </w:numPr>
        <w:spacing w:line="276" w:lineRule="auto"/>
        <w:jc w:val="both"/>
      </w:pPr>
      <w:r>
        <w:t>La artrosis tipo III, relacionada con la edad.</w:t>
      </w:r>
    </w:p>
    <w:p w:rsidR="00153753" w:rsidRDefault="00153753">
      <w:pPr>
        <w:spacing w:line="276" w:lineRule="auto"/>
        <w:jc w:val="both"/>
        <w:rPr>
          <w:color w:val="000000"/>
        </w:rPr>
      </w:pPr>
    </w:p>
    <w:p w:rsidR="00153753" w:rsidRDefault="004C238A">
      <w:pPr>
        <w:spacing w:line="276" w:lineRule="auto"/>
        <w:jc w:val="both"/>
        <w:rPr>
          <w:color w:val="000000"/>
        </w:rPr>
      </w:pPr>
      <w:r>
        <w:rPr>
          <w:color w:val="000000"/>
        </w:rPr>
        <w:t>La artrosis tipo I, de causa genética, es una enfermedad hereditaria que fue de</w:t>
      </w:r>
      <w:r>
        <w:rPr>
          <w:color w:val="000000"/>
        </w:rPr>
        <w:t>scrita por vez primera por Kellegren y Moore y Steecher en la que existe una predisposición familiar.</w:t>
      </w:r>
    </w:p>
    <w:p w:rsidR="00153753" w:rsidRDefault="00153753">
      <w:pPr>
        <w:spacing w:line="276" w:lineRule="auto"/>
        <w:jc w:val="both"/>
        <w:rPr>
          <w:color w:val="000000"/>
        </w:rPr>
      </w:pPr>
    </w:p>
    <w:p w:rsidR="00153753" w:rsidRDefault="004C238A">
      <w:pPr>
        <w:spacing w:line="276" w:lineRule="auto"/>
        <w:jc w:val="both"/>
      </w:pPr>
      <w:r>
        <w:rPr>
          <w:color w:val="000000"/>
        </w:rPr>
        <w:t>La artrosis tipo II dependiente de las hormonas estrogénicas, </w:t>
      </w:r>
      <w:r>
        <w:rPr>
          <w:i/>
          <w:color w:val="000000"/>
        </w:rPr>
        <w:t xml:space="preserve">está relacionada con los niveles de hormonas esteroideas, </w:t>
      </w:r>
      <w:r>
        <w:rPr>
          <w:i/>
        </w:rPr>
        <w:t>particularmente con los niveles d</w:t>
      </w:r>
      <w:r>
        <w:rPr>
          <w:i/>
        </w:rPr>
        <w:t>e </w:t>
      </w:r>
      <w:hyperlink r:id="rId25">
        <w:r>
          <w:rPr>
            <w:i/>
            <w:color w:val="000000"/>
          </w:rPr>
          <w:t>estrógenos</w:t>
        </w:r>
      </w:hyperlink>
      <w:r>
        <w:rPr>
          <w:i/>
        </w:rPr>
        <w:t>.</w:t>
      </w:r>
      <w:r>
        <w:t> El máximo pico de prevalencia de artrosis en mujeres con relación a los hombres se asocia con la edad de la </w:t>
      </w:r>
      <w:hyperlink r:id="rId26">
        <w:r>
          <w:rPr>
            <w:color w:val="000000"/>
          </w:rPr>
          <w:t>menopausi</w:t>
        </w:r>
        <w:r>
          <w:rPr>
            <w:color w:val="000000"/>
          </w:rPr>
          <w:t>a</w:t>
        </w:r>
      </w:hyperlink>
      <w:r>
        <w:t>. La prevalencia de artrosis en las manos, cadera, rodilla, y múltiples articulaciones (artrosis generalizada) tiene una significación más alta en mujeres que en hombres después de los 50 años. Existe una asociación entre los niveles bajos de </w:t>
      </w:r>
      <w:hyperlink r:id="rId27">
        <w:r>
          <w:rPr>
            <w:color w:val="000000"/>
          </w:rPr>
          <w:t>estrógenos</w:t>
        </w:r>
      </w:hyperlink>
      <w:r>
        <w:t> y los cambios en radiografías de rodilla, en mujeres postmenopáusicas. El polimorfismo del gen 1 del receptor de estrógenos se ha asociado con artrosis en diferentes poblaciones. El rápido des</w:t>
      </w:r>
      <w:r>
        <w:t>censo en la producción de estrógenos que acontece en la </w:t>
      </w:r>
      <w:hyperlink r:id="rId28">
        <w:r>
          <w:rPr>
            <w:color w:val="000000"/>
          </w:rPr>
          <w:t>menopausia</w:t>
        </w:r>
      </w:hyperlink>
      <w:r>
        <w:t> también puede acelerar la pérdida de masa muscular. Basado en las evidencias es posible afirmar que la artrosis tipo II se desarr</w:t>
      </w:r>
      <w:r>
        <w:t>olla en los primeros años de la </w:t>
      </w:r>
      <w:hyperlink r:id="rId29">
        <w:r>
          <w:rPr>
            <w:color w:val="000000"/>
          </w:rPr>
          <w:t>menopausia</w:t>
        </w:r>
      </w:hyperlink>
      <w:r>
        <w:t> y es un síndrome distinto con claras diferencias tanto de la artrosis genética o tipo I, como la de la relacionada por la edad (tipo III).</w:t>
      </w:r>
    </w:p>
    <w:p w:rsidR="00153753" w:rsidRDefault="00153753">
      <w:pPr>
        <w:spacing w:line="276" w:lineRule="auto"/>
        <w:jc w:val="both"/>
      </w:pPr>
    </w:p>
    <w:p w:rsidR="00153753" w:rsidRDefault="004C238A">
      <w:pPr>
        <w:spacing w:line="276" w:lineRule="auto"/>
        <w:jc w:val="both"/>
      </w:pPr>
      <w:r>
        <w:t>La artrosis t</w:t>
      </w:r>
      <w:r>
        <w:t>ipo III está estrechamente relacionada con la edad. Ha sido considerada como prototipo de envejecimiento. Su prevalencia se incrementa rápidamente con los años, siendo casi universal su presencia en personas mayores. Los cambios que se producen en los teji</w:t>
      </w:r>
      <w:r>
        <w:t xml:space="preserve">dos musculoesqueléticos, se han considerado en las investigaciones que son una consecuencia ineludible del paso del tiempo. </w:t>
      </w:r>
    </w:p>
    <w:p w:rsidR="00153753" w:rsidRDefault="00153753">
      <w:pPr>
        <w:spacing w:line="276" w:lineRule="auto"/>
        <w:jc w:val="both"/>
      </w:pPr>
    </w:p>
    <w:p w:rsidR="00153753" w:rsidRDefault="004C238A">
      <w:pPr>
        <w:spacing w:line="276" w:lineRule="auto"/>
        <w:jc w:val="both"/>
        <w:rPr>
          <w:b/>
        </w:rPr>
      </w:pPr>
      <w:r>
        <w:rPr>
          <w:b/>
        </w:rPr>
        <w:t>Cuadro clínico:</w:t>
      </w:r>
    </w:p>
    <w:p w:rsidR="00153753" w:rsidRDefault="00153753">
      <w:pPr>
        <w:spacing w:line="276" w:lineRule="auto"/>
        <w:jc w:val="both"/>
        <w:rPr>
          <w:b/>
        </w:rPr>
      </w:pPr>
    </w:p>
    <w:p w:rsidR="00153753" w:rsidRDefault="004C238A">
      <w:pPr>
        <w:spacing w:line="276" w:lineRule="auto"/>
        <w:jc w:val="both"/>
      </w:pPr>
      <w:r>
        <w:t>Usualmente tiene un comienzo lento. Puede manifestarse con dolor en las articulaciones después de hacer ejercicio o algún esfuerzo físico. La artrosis puede afectar a cualquier articulación, pero ocurre más frecuentemente en la espina dorsal, manos, cadera</w:t>
      </w:r>
      <w:r>
        <w:t>s o rodillas.</w:t>
      </w:r>
    </w:p>
    <w:p w:rsidR="00153753" w:rsidRDefault="004C238A">
      <w:pPr>
        <w:spacing w:line="276" w:lineRule="auto"/>
        <w:jc w:val="both"/>
      </w:pPr>
      <w:r>
        <w:t>La artrosis en los dedos al parecer se presenta en algunas familias y no en otras, por lo que se piensa que podría ser hereditaria. Se ha observado que afecta más a mujeres que a hombres, especialmente después de la </w:t>
      </w:r>
      <w:hyperlink r:id="rId30">
        <w:r>
          <w:rPr>
            <w:color w:val="000000"/>
          </w:rPr>
          <w:t>menopausia</w:t>
        </w:r>
      </w:hyperlink>
      <w:r>
        <w:t>. Pueden aparecer pequeños </w:t>
      </w:r>
      <w:hyperlink r:id="rId31">
        <w:r>
          <w:rPr>
            <w:color w:val="000000"/>
          </w:rPr>
          <w:t>nódulos</w:t>
        </w:r>
      </w:hyperlink>
      <w:r>
        <w:t xml:space="preserve"> de huesos en las articulaciones de los dedos. Nódulos de Heberden, en las articulaciones interfalángicas </w:t>
      </w:r>
      <w:r>
        <w:t>distales de las manos, o nódulos de Bouchard si están en la zona proximal.</w:t>
      </w:r>
    </w:p>
    <w:p w:rsidR="00153753" w:rsidRDefault="004C238A">
      <w:pPr>
        <w:spacing w:line="276" w:lineRule="auto"/>
        <w:jc w:val="both"/>
      </w:pPr>
      <w:r>
        <w:t>Las rodillas son las articulaciones sobre las que se carga la mayor parte del peso del cuerpo (junto con los tobillos, pero éstos se mueven mucho menos que las rodillas), así que la</w:t>
      </w:r>
      <w:r>
        <w:t xml:space="preserve">s expone a que sean mayormente afectadas por la artrosis. Se pueden poner rígidas, </w:t>
      </w:r>
      <w:r>
        <w:lastRenderedPageBreak/>
        <w:t xml:space="preserve">dolorososas e inflamadas, lo que hace que sea difícil caminar, subir escaleras, sentarse y levantarse. Si no se recibe tratamiento, la artrosis en las rodillas puede llevar </w:t>
      </w:r>
      <w:r>
        <w:t>a </w:t>
      </w:r>
      <w:hyperlink r:id="rId32">
        <w:r>
          <w:rPr>
            <w:color w:val="000000"/>
          </w:rPr>
          <w:t>discapacidad</w:t>
        </w:r>
      </w:hyperlink>
      <w:r>
        <w:t>. A la artrosis de las rodillas se le llama gonartrosis.</w:t>
      </w:r>
    </w:p>
    <w:p w:rsidR="00153753" w:rsidRDefault="004C238A">
      <w:pPr>
        <w:spacing w:line="276" w:lineRule="auto"/>
        <w:jc w:val="both"/>
      </w:pPr>
      <w:r>
        <w:t>En las caderas la artrosis puede causar dolor, rigidez e incapacidad grave. Las personas con este padecimiento pueden senti</w:t>
      </w:r>
      <w:r>
        <w:t>r dolor en las </w:t>
      </w:r>
      <w:hyperlink r:id="rId33">
        <w:r>
          <w:rPr>
            <w:color w:val="000000"/>
          </w:rPr>
          <w:t>caderas</w:t>
        </w:r>
      </w:hyperlink>
      <w:r>
        <w:t>, en las </w:t>
      </w:r>
      <w:hyperlink r:id="rId34">
        <w:r>
          <w:rPr>
            <w:color w:val="000000"/>
          </w:rPr>
          <w:t>ingles</w:t>
        </w:r>
      </w:hyperlink>
      <w:r>
        <w:t>, en la parte interior de los </w:t>
      </w:r>
      <w:hyperlink r:id="rId35">
        <w:r>
          <w:rPr>
            <w:color w:val="000000"/>
          </w:rPr>
          <w:t>muslos</w:t>
        </w:r>
      </w:hyperlink>
      <w:r>
        <w:t> o en las </w:t>
      </w:r>
      <w:hyperlink r:id="rId36">
        <w:r>
          <w:rPr>
            <w:color w:val="000000"/>
          </w:rPr>
          <w:t>rodillas</w:t>
        </w:r>
      </w:hyperlink>
      <w:r>
        <w:t>.. El resultado es que actividades de la vida diaria como vestirse y el cuidado de los pies pueden resultar muy dolorosas. A la artrosis de las caderas se le llama </w:t>
      </w:r>
      <w:hyperlink r:id="rId37">
        <w:r>
          <w:rPr>
            <w:color w:val="000000"/>
          </w:rPr>
          <w:t>coxartrosis</w:t>
        </w:r>
      </w:hyperlink>
      <w:r>
        <w:t>.</w:t>
      </w:r>
    </w:p>
    <w:p w:rsidR="00153753" w:rsidRDefault="004C238A">
      <w:pPr>
        <w:spacing w:line="276" w:lineRule="auto"/>
        <w:jc w:val="both"/>
      </w:pPr>
      <w:r>
        <w:t xml:space="preserve">Rigidez y dolor cervical o lumbar pueden ser el resultado de artrosis de la columna vertebral. </w:t>
      </w:r>
    </w:p>
    <w:p w:rsidR="00153753" w:rsidRDefault="004C238A">
      <w:pPr>
        <w:spacing w:line="276" w:lineRule="auto"/>
        <w:jc w:val="both"/>
      </w:pPr>
      <w:r>
        <w:t>También puede generar debilidad o adormecimiento en los brazos o en las piernas y deterioro funcional. Según la localización específica de la artrosis en la </w:t>
      </w:r>
      <w:hyperlink r:id="rId38">
        <w:r>
          <w:rPr>
            <w:color w:val="000000"/>
          </w:rPr>
          <w:t>columna vertebral</w:t>
        </w:r>
      </w:hyperlink>
      <w:r>
        <w:t>, el padecimien</w:t>
      </w:r>
      <w:r>
        <w:t>to se denomina lumboartrosis (vértebras lumbares) o cervicoartrosis (vértebras cervicales).</w:t>
      </w:r>
    </w:p>
    <w:p w:rsidR="00153753" w:rsidRDefault="00153753">
      <w:pPr>
        <w:spacing w:line="276" w:lineRule="auto"/>
        <w:jc w:val="both"/>
        <w:rPr>
          <w:b/>
          <w:color w:val="000000"/>
        </w:rPr>
      </w:pPr>
    </w:p>
    <w:p w:rsidR="00153753" w:rsidRDefault="004C238A">
      <w:pPr>
        <w:spacing w:line="276" w:lineRule="auto"/>
        <w:jc w:val="both"/>
        <w:rPr>
          <w:b/>
          <w:color w:val="000000"/>
        </w:rPr>
      </w:pPr>
      <w:r>
        <w:rPr>
          <w:b/>
          <w:color w:val="000000"/>
        </w:rPr>
        <w:t>Tratamiento:</w:t>
      </w:r>
    </w:p>
    <w:p w:rsidR="00153753" w:rsidRDefault="00153753">
      <w:pPr>
        <w:spacing w:line="276" w:lineRule="auto"/>
        <w:jc w:val="both"/>
        <w:rPr>
          <w:color w:val="000000"/>
        </w:rPr>
      </w:pPr>
    </w:p>
    <w:p w:rsidR="00153753" w:rsidRDefault="004C238A">
      <w:pPr>
        <w:spacing w:line="276" w:lineRule="auto"/>
        <w:jc w:val="both"/>
      </w:pPr>
      <w:r>
        <w:t>Tradicionalmente el tratamiento </w:t>
      </w:r>
      <w:hyperlink r:id="rId39">
        <w:r>
          <w:rPr>
            <w:color w:val="000000"/>
          </w:rPr>
          <w:t>farmacológico</w:t>
        </w:r>
      </w:hyperlink>
      <w:r>
        <w:t> que se ha empleado para hacer frent</w:t>
      </w:r>
      <w:r>
        <w:t>e a la artrosis ha sido únicamente </w:t>
      </w:r>
      <w:hyperlink r:id="rId40">
        <w:r>
          <w:rPr>
            <w:color w:val="000000"/>
          </w:rPr>
          <w:t>sintomático</w:t>
        </w:r>
      </w:hyperlink>
      <w:r>
        <w:t>. Debido a que la posibilidad de curar la enfermedad o de detenerla era completamente nula, el objetivo de los medicamentos consiste en aliviar el d</w:t>
      </w:r>
      <w:r>
        <w:t>olor y la inflamación.</w:t>
      </w:r>
    </w:p>
    <w:p w:rsidR="00153753" w:rsidRDefault="004C238A">
      <w:pPr>
        <w:spacing w:line="276" w:lineRule="auto"/>
        <w:jc w:val="both"/>
      </w:pPr>
      <w:r>
        <w:t>En general, los médicos  recetan </w:t>
      </w:r>
      <w:hyperlink r:id="rId41">
        <w:r>
          <w:rPr>
            <w:color w:val="000000"/>
          </w:rPr>
          <w:t>analgésicos</w:t>
        </w:r>
      </w:hyperlink>
      <w:r>
        <w:t> como el acetaminofén  y anti-inflamatorios como el ibuprofeno para el tratamiento de la artrosis, pero se debe tener en cuenta el estado del aparato gastrointestinal y renal para evitar complicaciones.</w:t>
      </w:r>
    </w:p>
    <w:p w:rsidR="00153753" w:rsidRDefault="004C238A">
      <w:pPr>
        <w:spacing w:line="276" w:lineRule="auto"/>
        <w:jc w:val="both"/>
      </w:pPr>
      <w:r>
        <w:t>Estos tratamientos farmacológicos son en principio ef</w:t>
      </w:r>
      <w:r>
        <w:t>icaces para reducir la inflamación, el dolor y así poder recuperar la falta de movilidad, de forma que se recupere la calidad de vida perdida por el desgaste de los cartílagos en las articulaciones afectadas por la artrosis.</w:t>
      </w:r>
    </w:p>
    <w:p w:rsidR="00153753" w:rsidRDefault="004C238A">
      <w:pPr>
        <w:spacing w:line="276" w:lineRule="auto"/>
        <w:jc w:val="both"/>
      </w:pPr>
      <w:r>
        <w:t>Los medicamentos o tratamientos</w:t>
      </w:r>
      <w:r>
        <w:t xml:space="preserve"> para la artrosis tienen diferentes propósitos. Estos buscan:</w:t>
      </w:r>
    </w:p>
    <w:p w:rsidR="00153753" w:rsidRDefault="004C238A">
      <w:pPr>
        <w:spacing w:line="276" w:lineRule="auto"/>
        <w:jc w:val="both"/>
      </w:pPr>
      <w:r>
        <w:t>- Reducir la inflamación.</w:t>
      </w:r>
    </w:p>
    <w:p w:rsidR="00153753" w:rsidRDefault="004C238A">
      <w:pPr>
        <w:spacing w:line="276" w:lineRule="auto"/>
        <w:jc w:val="both"/>
      </w:pPr>
      <w:r>
        <w:t>- Aliviar el dolor.</w:t>
      </w:r>
    </w:p>
    <w:p w:rsidR="00153753" w:rsidRDefault="004C238A">
      <w:pPr>
        <w:spacing w:line="276" w:lineRule="auto"/>
        <w:jc w:val="both"/>
      </w:pPr>
      <w:r>
        <w:t>- Recuperar la movilidad.</w:t>
      </w:r>
    </w:p>
    <w:p w:rsidR="00153753" w:rsidRDefault="004C238A">
      <w:pPr>
        <w:spacing w:line="276" w:lineRule="auto"/>
        <w:jc w:val="both"/>
      </w:pPr>
      <w:r>
        <w:t>- Enlentecer el avance de la artrosis.</w:t>
      </w:r>
    </w:p>
    <w:p w:rsidR="00153753" w:rsidRDefault="004C238A">
      <w:pPr>
        <w:spacing w:line="276" w:lineRule="auto"/>
        <w:jc w:val="both"/>
      </w:pPr>
      <w:r>
        <w:t>Narcóticos-analgésicos. Son otra opción de tratamiento especialmente en los pacient</w:t>
      </w:r>
      <w:r>
        <w:t>es en quienes los AINES no han sido eficaces. El dolor de los pacientes con OA es especialmente sensible a los narcóticos. Algunos medicamentos como la hidrocodona y la codeína se han utilizado con éxito, especialmente en combinación con acetaminofén. El t</w:t>
      </w:r>
      <w:r>
        <w:t>ramadol tiene leve efecto supresor sobre el receptor opioide µ del que depende su efecto adictivo.</w:t>
      </w:r>
    </w:p>
    <w:p w:rsidR="00153753" w:rsidRDefault="00153753">
      <w:pPr>
        <w:spacing w:line="276" w:lineRule="auto"/>
        <w:jc w:val="both"/>
      </w:pPr>
    </w:p>
    <w:p w:rsidR="00153753" w:rsidRDefault="004C238A">
      <w:pPr>
        <w:spacing w:line="276" w:lineRule="auto"/>
        <w:jc w:val="both"/>
      </w:pPr>
      <w:r>
        <w:t>La combinación tramadol y acetaminofén o codeína y acetaminofén son particularmente efectivos en el tratamiento de la lumbalgia.</w:t>
      </w:r>
    </w:p>
    <w:p w:rsidR="00153753" w:rsidRDefault="004C238A">
      <w:pPr>
        <w:spacing w:line="276" w:lineRule="auto"/>
        <w:jc w:val="both"/>
      </w:pPr>
      <w:r>
        <w:lastRenderedPageBreak/>
        <w:t>Relajantes musculares: Pued</w:t>
      </w:r>
      <w:r>
        <w:t xml:space="preserve">en ser coadyuvantes en el tratamiento de Osteoartrosis cervical y lumbar. </w:t>
      </w:r>
    </w:p>
    <w:p w:rsidR="00153753" w:rsidRDefault="004C238A">
      <w:pPr>
        <w:spacing w:line="276" w:lineRule="auto"/>
        <w:jc w:val="both"/>
      </w:pPr>
      <w:r>
        <w:t>Inyecciones epidurales y facetarias: La inyección epidural de corticosteroides está indicada en caso de lumbalgia por discartrosis y radiculopatía lumbar y especialmente en las pseu</w:t>
      </w:r>
      <w:r>
        <w:t>doartrosis de la cadera (articulaciones sacroiliacas y apófisis transversa con ilíaco). La inyección intra-articular de esteroides no está indicada en las articulaciones que soportan peso por su breve efecto analgésico y antiinflamatorio y por favorecer la</w:t>
      </w:r>
      <w:r>
        <w:t xml:space="preserve"> destrucción articular al disminuir el efecto protector del dolor. </w:t>
      </w:r>
    </w:p>
    <w:p w:rsidR="00153753" w:rsidRDefault="004C238A">
      <w:pPr>
        <w:spacing w:line="276" w:lineRule="auto"/>
        <w:jc w:val="both"/>
      </w:pPr>
      <w:r>
        <w:t>Los medicamentos o tratamientos tópicos tienen menos riesgo de efectos secundarios y pueden ser una opción muy eficaz cuando la artrosis que se sufre en articulaciones como: la rodilla, la</w:t>
      </w:r>
      <w:r>
        <w:t>s manos, codos, hombros, cervicales o la parte las lumbares en la espalda.</w:t>
      </w:r>
    </w:p>
    <w:p w:rsidR="00153753" w:rsidRDefault="004C238A">
      <w:pPr>
        <w:spacing w:line="276" w:lineRule="auto"/>
        <w:jc w:val="both"/>
      </w:pPr>
      <w:r>
        <w:t>Los medicamentos y tratamientos tópicos más comunes para la artrosis son las cremas, geles, sprays o fluidos con un porcentaje de antiinflamatorios y calmantes en su formulación. Es</w:t>
      </w:r>
      <w:r>
        <w:t>tos pueden ser medicamentos como el ibuprofeno, diclofenaco, u otros.</w:t>
      </w:r>
    </w:p>
    <w:p w:rsidR="00153753" w:rsidRDefault="004C238A">
      <w:pPr>
        <w:spacing w:line="276" w:lineRule="auto"/>
        <w:jc w:val="both"/>
      </w:pPr>
      <w:r>
        <w:t>También existen medicamentos naturales como el MSM (metil sulfonil metano), Harpagofito, apoyados con condroprotectores como la Glucosamina HCL y Condroitina procedentes de plantas que p</w:t>
      </w:r>
      <w:r>
        <w:t>ueden tener cierto alivio sintomático del dolor.</w:t>
      </w:r>
    </w:p>
    <w:p w:rsidR="00153753" w:rsidRDefault="004C238A">
      <w:pPr>
        <w:spacing w:line="276" w:lineRule="auto"/>
        <w:jc w:val="both"/>
      </w:pPr>
      <w:r>
        <w:t>Los condroprotectores ejercerán una acción regeneradora sobre la deteriorada articulación al tiempo que los antiinflamatorios reducen el dolor y devuelven la movilidad a la articulación.</w:t>
      </w:r>
    </w:p>
    <w:p w:rsidR="00153753" w:rsidRDefault="004C238A">
      <w:pPr>
        <w:spacing w:line="276" w:lineRule="auto"/>
        <w:jc w:val="both"/>
      </w:pPr>
      <w:r>
        <w:t>A lo anterior, es im</w:t>
      </w:r>
      <w:r>
        <w:t>portante remarcar que el estilo de vida saludable, una buena alimentación, un peso correcto, ejercicio físico moderado y dormir bien son la mejor base para prevenir la artrosis.</w:t>
      </w:r>
    </w:p>
    <w:p w:rsidR="00153753" w:rsidRDefault="00153753">
      <w:pPr>
        <w:spacing w:line="276" w:lineRule="auto"/>
        <w:jc w:val="both"/>
      </w:pPr>
    </w:p>
    <w:p w:rsidR="00153753" w:rsidRDefault="004C238A">
      <w:pPr>
        <w:spacing w:line="276" w:lineRule="auto"/>
        <w:jc w:val="both"/>
      </w:pPr>
      <w:r>
        <w:t>Fármacos de acción sintomática lenta para la artrosis</w:t>
      </w:r>
    </w:p>
    <w:p w:rsidR="00153753" w:rsidRDefault="004C238A">
      <w:pPr>
        <w:spacing w:line="276" w:lineRule="auto"/>
        <w:jc w:val="both"/>
      </w:pPr>
      <w:r w:rsidRPr="008D05DF">
        <w:rPr>
          <w:lang w:val="en-US"/>
        </w:rPr>
        <w:t>Viene del inglés </w:t>
      </w:r>
      <w:r w:rsidRPr="008D05DF">
        <w:rPr>
          <w:i/>
          <w:lang w:val="en-US"/>
        </w:rPr>
        <w:t>SYSADO</w:t>
      </w:r>
      <w:r w:rsidRPr="008D05DF">
        <w:rPr>
          <w:i/>
          <w:lang w:val="en-US"/>
        </w:rPr>
        <w:t>A</w:t>
      </w:r>
      <w:r w:rsidRPr="008D05DF">
        <w:rPr>
          <w:lang w:val="en-US"/>
        </w:rPr>
        <w:t> (</w:t>
      </w:r>
      <w:r w:rsidRPr="008D05DF">
        <w:rPr>
          <w:i/>
          <w:lang w:val="en-US"/>
        </w:rPr>
        <w:t>Symptomatic Slow Acting Drug for Osteoarthritis</w:t>
      </w:r>
      <w:r w:rsidRPr="008D05DF">
        <w:rPr>
          <w:lang w:val="en-US"/>
        </w:rPr>
        <w:t xml:space="preserve">). </w:t>
      </w:r>
      <w:r>
        <w:t>Eran antiguamente denominados </w:t>
      </w:r>
      <w:hyperlink r:id="rId42">
        <w:r>
          <w:rPr>
            <w:i/>
            <w:color w:val="000000"/>
          </w:rPr>
          <w:t>condroprotectores</w:t>
        </w:r>
      </w:hyperlink>
      <w:r>
        <w:t>. Un </w:t>
      </w:r>
      <w:hyperlink r:id="rId43">
        <w:r>
          <w:rPr>
            <w:color w:val="000000"/>
          </w:rPr>
          <w:t>metanálisis</w:t>
        </w:r>
      </w:hyperlink>
      <w:r>
        <w:t> publicad</w:t>
      </w:r>
      <w:r>
        <w:t>o en la </w:t>
      </w:r>
      <w:r>
        <w:rPr>
          <w:i/>
        </w:rPr>
        <w:t>British Medical Journal</w:t>
      </w:r>
      <w:r>
        <w:t> en el 2010 afirma que son ineficaces para la cura de este padecimiento.</w:t>
      </w:r>
    </w:p>
    <w:p w:rsidR="00153753" w:rsidRDefault="004C238A">
      <w:pPr>
        <w:spacing w:line="276" w:lineRule="auto"/>
        <w:jc w:val="both"/>
      </w:pPr>
      <w:r>
        <w:t>En este metaanálisis se evaluó el efecto sintomático y modificador de la enfermedad tanto de </w:t>
      </w:r>
      <w:hyperlink r:id="rId44">
        <w:r>
          <w:rPr>
            <w:color w:val="000000"/>
          </w:rPr>
          <w:t>condroitín sulfato</w:t>
        </w:r>
      </w:hyperlink>
      <w:r>
        <w:t> como de </w:t>
      </w:r>
      <w:hyperlink r:id="rId45">
        <w:r>
          <w:rPr>
            <w:color w:val="000000"/>
          </w:rPr>
          <w:t>glucosamina</w:t>
        </w:r>
      </w:hyperlink>
      <w:r>
        <w:t> y su combinación, y se llegó a la conclusión de que ninguno de los productos presenta eficacia clínica en el tratamiento de la artrosis. No ob</w:t>
      </w:r>
      <w:r>
        <w:t>stante, la publicación de este trabajo suscitó numerosas críticas, del mismo modo que ocurrió con el anterior metaanálisis publicado por el mismo grupo de investigadores.</w:t>
      </w:r>
    </w:p>
    <w:p w:rsidR="00153753" w:rsidRDefault="004C238A">
      <w:pPr>
        <w:spacing w:line="276" w:lineRule="auto"/>
        <w:jc w:val="both"/>
      </w:pPr>
      <w:r>
        <w:t>Recientemente se publicó en otra revista de reconocido prestigio internacional (</w:t>
      </w:r>
      <w:r>
        <w:rPr>
          <w:i/>
        </w:rPr>
        <w:t>Annal</w:t>
      </w:r>
      <w:r>
        <w:rPr>
          <w:i/>
        </w:rPr>
        <w:t>s of the Rheumatic Diseases</w:t>
      </w:r>
      <w:r>
        <w:t>) un ensayo clínico que confirma la eficacia del condroitín sulfato en el tratamiento de la artrosis de rodilla</w:t>
      </w:r>
      <w:r>
        <w:rPr>
          <w:vertAlign w:val="superscript"/>
        </w:rPr>
        <w:t>.</w:t>
      </w:r>
    </w:p>
    <w:p w:rsidR="00153753" w:rsidRDefault="004C238A">
      <w:pPr>
        <w:spacing w:line="276" w:lineRule="auto"/>
        <w:jc w:val="both"/>
      </w:pPr>
      <w:r>
        <w:t>Otros fármacos de este grupo son la </w:t>
      </w:r>
      <w:hyperlink r:id="rId46">
        <w:r>
          <w:rPr>
            <w:color w:val="000000"/>
          </w:rPr>
          <w:t>glucosamina</w:t>
        </w:r>
      </w:hyperlink>
      <w:r>
        <w:t> y la </w:t>
      </w:r>
      <w:hyperlink r:id="rId47">
        <w:r>
          <w:rPr>
            <w:color w:val="000000"/>
          </w:rPr>
          <w:t>diacereína</w:t>
        </w:r>
      </w:hyperlink>
      <w:r>
        <w:t>.</w:t>
      </w:r>
    </w:p>
    <w:p w:rsidR="00153753" w:rsidRDefault="004C238A">
      <w:pPr>
        <w:spacing w:line="276" w:lineRule="auto"/>
        <w:jc w:val="both"/>
      </w:pPr>
      <w:r>
        <w:t>Otro de los tratamientos que se han investigado consiste en la aplicación de </w:t>
      </w:r>
      <w:hyperlink r:id="rId48">
        <w:r>
          <w:rPr>
            <w:color w:val="000000"/>
          </w:rPr>
          <w:t>ácido hialurónico</w:t>
        </w:r>
      </w:hyperlink>
      <w:r>
        <w:t> Sin embargo, éste ha sido clínicamente inefectivo para el tratamiento de la cadera y de la rodilla.</w:t>
      </w:r>
    </w:p>
    <w:p w:rsidR="00153753" w:rsidRDefault="00153753">
      <w:pPr>
        <w:spacing w:line="276" w:lineRule="auto"/>
        <w:jc w:val="both"/>
      </w:pPr>
    </w:p>
    <w:p w:rsidR="00153753" w:rsidRDefault="004C238A">
      <w:pPr>
        <w:spacing w:line="276" w:lineRule="auto"/>
        <w:jc w:val="both"/>
        <w:rPr>
          <w:b/>
        </w:rPr>
      </w:pPr>
      <w:r>
        <w:rPr>
          <w:b/>
        </w:rPr>
        <w:lastRenderedPageBreak/>
        <w:t>Terapia física:</w:t>
      </w:r>
    </w:p>
    <w:p w:rsidR="00153753" w:rsidRDefault="00153753">
      <w:pPr>
        <w:spacing w:line="276" w:lineRule="auto"/>
        <w:jc w:val="both"/>
        <w:rPr>
          <w:b/>
        </w:rPr>
      </w:pPr>
    </w:p>
    <w:p w:rsidR="00153753" w:rsidRDefault="004C238A">
      <w:pPr>
        <w:spacing w:line="276" w:lineRule="auto"/>
        <w:jc w:val="both"/>
      </w:pPr>
      <w:r>
        <w:t>La fisioterapia como tal no ofrece cura para el proceso degenerativo artrósico, pero alivia de forma importante los síntomas como el dolo</w:t>
      </w:r>
      <w:r>
        <w:t>r y la rigidez, previene las contracturas articulares y el desacondicionamiento físico.</w:t>
      </w:r>
    </w:p>
    <w:p w:rsidR="00153753" w:rsidRDefault="004C238A">
      <w:pPr>
        <w:spacing w:line="276" w:lineRule="auto"/>
        <w:jc w:val="both"/>
      </w:pPr>
      <w:r>
        <w:t>El efecto benéfico de las terapias físicas es mayor en estadíos iniciales, si la artrosis se encuentra muy avanzada puede no tener ningún efecto.</w:t>
      </w:r>
    </w:p>
    <w:p w:rsidR="00153753" w:rsidRDefault="004C238A">
      <w:pPr>
        <w:spacing w:line="276" w:lineRule="auto"/>
        <w:jc w:val="both"/>
      </w:pPr>
      <w:r>
        <w:t>Cuando el desgaste, da</w:t>
      </w:r>
      <w:r>
        <w:t>ño y alteración biomecánica articular es alto el tratamiento puede ser quirúrgico, consistiendo en el reemplazo articular por una prótesis metálica, para aliviar el dolor, acompañado de un plan de rehabilitación integral.</w:t>
      </w:r>
    </w:p>
    <w:p w:rsidR="00153753" w:rsidRDefault="004C238A">
      <w:pPr>
        <w:spacing w:line="276" w:lineRule="auto"/>
        <w:jc w:val="both"/>
      </w:pPr>
      <w:r>
        <w:t>Referencias.</w:t>
      </w:r>
    </w:p>
    <w:p w:rsidR="00153753" w:rsidRDefault="00153753">
      <w:pPr>
        <w:spacing w:line="276" w:lineRule="auto"/>
        <w:jc w:val="both"/>
      </w:pP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numPr>
          <w:ilvl w:val="1"/>
          <w:numId w:val="10"/>
        </w:numPr>
        <w:pBdr>
          <w:top w:val="nil"/>
          <w:left w:val="nil"/>
          <w:bottom w:val="nil"/>
          <w:right w:val="nil"/>
          <w:between w:val="nil"/>
        </w:pBdr>
        <w:spacing w:line="276" w:lineRule="auto"/>
        <w:ind w:left="709" w:hanging="567"/>
        <w:jc w:val="both"/>
        <w:rPr>
          <w:rFonts w:eastAsia="Arial"/>
          <w:b/>
          <w:color w:val="000000"/>
          <w:szCs w:val="22"/>
        </w:rPr>
      </w:pPr>
      <w:r>
        <w:rPr>
          <w:rFonts w:eastAsia="Arial"/>
          <w:b/>
          <w:color w:val="000000"/>
          <w:szCs w:val="22"/>
        </w:rPr>
        <w:t>Registros.</w:t>
      </w:r>
    </w:p>
    <w:p w:rsidR="00153753" w:rsidRDefault="00153753">
      <w:pPr>
        <w:pBdr>
          <w:top w:val="nil"/>
          <w:left w:val="nil"/>
          <w:bottom w:val="nil"/>
          <w:right w:val="nil"/>
          <w:between w:val="nil"/>
        </w:pBdr>
        <w:spacing w:line="276" w:lineRule="auto"/>
        <w:ind w:left="1080"/>
        <w:jc w:val="both"/>
        <w:rPr>
          <w:rFonts w:eastAsia="Arial"/>
          <w:b/>
          <w:color w:val="000000"/>
          <w:szCs w:val="22"/>
        </w:rPr>
      </w:pPr>
    </w:p>
    <w:p w:rsidR="00153753" w:rsidRDefault="004C238A">
      <w:pPr>
        <w:numPr>
          <w:ilvl w:val="2"/>
          <w:numId w:val="10"/>
        </w:numPr>
        <w:pBdr>
          <w:top w:val="nil"/>
          <w:left w:val="nil"/>
          <w:bottom w:val="nil"/>
          <w:right w:val="nil"/>
          <w:between w:val="nil"/>
        </w:pBdr>
        <w:spacing w:line="276" w:lineRule="auto"/>
        <w:jc w:val="both"/>
        <w:rPr>
          <w:rFonts w:eastAsia="Arial"/>
          <w:color w:val="000000"/>
          <w:szCs w:val="22"/>
        </w:rPr>
      </w:pPr>
      <w:r>
        <w:rPr>
          <w:rFonts w:eastAsia="Arial"/>
          <w:color w:val="000000"/>
          <w:szCs w:val="22"/>
        </w:rPr>
        <w:t>Formato de historia clínica</w:t>
      </w:r>
      <w:r>
        <w:t xml:space="preserve"> - Generado por el aplicativo para cada usuario.</w:t>
      </w:r>
    </w:p>
    <w:p w:rsidR="00153753" w:rsidRDefault="004C238A">
      <w:pPr>
        <w:numPr>
          <w:ilvl w:val="2"/>
          <w:numId w:val="10"/>
        </w:numPr>
        <w:pBdr>
          <w:top w:val="nil"/>
          <w:left w:val="nil"/>
          <w:bottom w:val="nil"/>
          <w:right w:val="nil"/>
          <w:between w:val="nil"/>
        </w:pBdr>
        <w:spacing w:line="276" w:lineRule="auto"/>
        <w:rPr>
          <w:rFonts w:eastAsia="Arial"/>
          <w:color w:val="000000"/>
          <w:szCs w:val="22"/>
        </w:rPr>
      </w:pPr>
      <w:r>
        <w:rPr>
          <w:rFonts w:eastAsia="Arial"/>
          <w:color w:val="000000"/>
          <w:szCs w:val="22"/>
        </w:rPr>
        <w:t>F-M-2210-08 Consentimiento informado</w:t>
      </w:r>
    </w:p>
    <w:p w:rsidR="00153753" w:rsidRDefault="00153753">
      <w:pPr>
        <w:spacing w:after="160" w:line="276" w:lineRule="auto"/>
        <w:jc w:val="both"/>
      </w:pPr>
    </w:p>
    <w:p w:rsidR="00153753" w:rsidRDefault="004C238A">
      <w:pPr>
        <w:numPr>
          <w:ilvl w:val="1"/>
          <w:numId w:val="10"/>
        </w:numPr>
        <w:pBdr>
          <w:top w:val="nil"/>
          <w:left w:val="nil"/>
          <w:bottom w:val="nil"/>
          <w:right w:val="nil"/>
          <w:between w:val="nil"/>
        </w:pBdr>
        <w:spacing w:line="276" w:lineRule="auto"/>
        <w:jc w:val="both"/>
        <w:rPr>
          <w:rFonts w:eastAsia="Arial"/>
          <w:b/>
          <w:color w:val="000000"/>
          <w:szCs w:val="22"/>
        </w:rPr>
      </w:pPr>
      <w:r>
        <w:rPr>
          <w:rFonts w:eastAsia="Arial"/>
          <w:b/>
          <w:color w:val="000000"/>
          <w:szCs w:val="22"/>
        </w:rPr>
        <w:t>Normativa.</w:t>
      </w:r>
    </w:p>
    <w:p w:rsidR="00153753" w:rsidRDefault="00153753">
      <w:pPr>
        <w:pBdr>
          <w:top w:val="nil"/>
          <w:left w:val="nil"/>
          <w:bottom w:val="nil"/>
          <w:right w:val="nil"/>
          <w:between w:val="nil"/>
        </w:pBdr>
        <w:spacing w:line="276" w:lineRule="auto"/>
        <w:ind w:left="1080"/>
        <w:jc w:val="both"/>
        <w:rPr>
          <w:rFonts w:eastAsia="Arial"/>
          <w:b/>
          <w:color w:val="000000"/>
          <w:szCs w:val="22"/>
        </w:rPr>
      </w:pPr>
    </w:p>
    <w:p w:rsidR="00153753" w:rsidRDefault="004C238A">
      <w:pPr>
        <w:numPr>
          <w:ilvl w:val="2"/>
          <w:numId w:val="5"/>
        </w:numPr>
        <w:pBdr>
          <w:top w:val="nil"/>
          <w:left w:val="nil"/>
          <w:bottom w:val="nil"/>
          <w:right w:val="nil"/>
          <w:between w:val="nil"/>
        </w:pBdr>
        <w:spacing w:line="276" w:lineRule="auto"/>
        <w:ind w:left="1134" w:hanging="140"/>
        <w:rPr>
          <w:rFonts w:eastAsia="Arial"/>
          <w:color w:val="000000"/>
          <w:szCs w:val="22"/>
        </w:rPr>
      </w:pPr>
      <w:r>
        <w:rPr>
          <w:rFonts w:eastAsia="Arial"/>
          <w:color w:val="000000"/>
          <w:szCs w:val="22"/>
        </w:rPr>
        <w:t>Resolución 1995 de 1996 del Ministerio de Salud y Protección Social: “Por la cual se establecen normas para el manejo de la Historia Clínica”</w:t>
      </w:r>
    </w:p>
    <w:p w:rsidR="00153753" w:rsidRDefault="00153753">
      <w:pPr>
        <w:pBdr>
          <w:top w:val="nil"/>
          <w:left w:val="nil"/>
          <w:bottom w:val="nil"/>
          <w:right w:val="nil"/>
          <w:between w:val="nil"/>
        </w:pBdr>
        <w:spacing w:line="276" w:lineRule="auto"/>
        <w:ind w:left="1134" w:hanging="140"/>
        <w:rPr>
          <w:rFonts w:eastAsia="Arial"/>
          <w:color w:val="000000"/>
          <w:szCs w:val="22"/>
        </w:rPr>
      </w:pPr>
    </w:p>
    <w:p w:rsidR="00153753" w:rsidRDefault="004C238A">
      <w:pPr>
        <w:numPr>
          <w:ilvl w:val="2"/>
          <w:numId w:val="5"/>
        </w:numPr>
        <w:pBdr>
          <w:top w:val="nil"/>
          <w:left w:val="nil"/>
          <w:bottom w:val="nil"/>
          <w:right w:val="nil"/>
          <w:between w:val="nil"/>
        </w:pBdr>
        <w:spacing w:line="276" w:lineRule="auto"/>
        <w:ind w:left="1134" w:hanging="140"/>
        <w:jc w:val="both"/>
        <w:rPr>
          <w:rFonts w:eastAsia="Arial"/>
          <w:color w:val="000000"/>
          <w:szCs w:val="22"/>
        </w:rPr>
      </w:pPr>
      <w:r>
        <w:rPr>
          <w:rFonts w:eastAsia="Arial"/>
          <w:color w:val="000000"/>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w:t>
      </w:r>
      <w:r>
        <w:rPr>
          <w:rFonts w:eastAsia="Arial"/>
          <w:color w:val="000000"/>
          <w:szCs w:val="22"/>
        </w:rPr>
        <w:t xml:space="preserve"> y Habilitación de Servicios de Salud”.</w:t>
      </w:r>
    </w:p>
    <w:p w:rsidR="00153753" w:rsidRDefault="00153753">
      <w:pPr>
        <w:spacing w:line="276" w:lineRule="auto"/>
        <w:ind w:left="1134" w:hanging="140"/>
        <w:jc w:val="both"/>
      </w:pPr>
    </w:p>
    <w:p w:rsidR="00153753" w:rsidRDefault="00153753">
      <w:pPr>
        <w:spacing w:line="276" w:lineRule="auto"/>
        <w:jc w:val="both"/>
      </w:pPr>
    </w:p>
    <w:p w:rsidR="00153753" w:rsidRDefault="004C238A">
      <w:pPr>
        <w:numPr>
          <w:ilvl w:val="1"/>
          <w:numId w:val="10"/>
        </w:numPr>
        <w:pBdr>
          <w:top w:val="nil"/>
          <w:left w:val="nil"/>
          <w:bottom w:val="nil"/>
          <w:right w:val="nil"/>
          <w:between w:val="nil"/>
        </w:pBdr>
        <w:spacing w:line="276" w:lineRule="auto"/>
        <w:rPr>
          <w:rFonts w:eastAsia="Arial"/>
          <w:color w:val="000000"/>
          <w:sz w:val="23"/>
          <w:szCs w:val="23"/>
        </w:rPr>
      </w:pPr>
      <w:r>
        <w:rPr>
          <w:rFonts w:eastAsia="Arial"/>
          <w:b/>
          <w:color w:val="000000"/>
          <w:sz w:val="23"/>
          <w:szCs w:val="23"/>
        </w:rPr>
        <w:t xml:space="preserve">Documentos de Referencia. </w:t>
      </w:r>
    </w:p>
    <w:p w:rsidR="00153753" w:rsidRDefault="00153753">
      <w:pPr>
        <w:spacing w:line="276" w:lineRule="auto"/>
        <w:ind w:left="720"/>
        <w:jc w:val="both"/>
      </w:pPr>
    </w:p>
    <w:p w:rsidR="00153753" w:rsidRPr="008D05DF" w:rsidRDefault="004C238A">
      <w:pPr>
        <w:pBdr>
          <w:top w:val="nil"/>
          <w:left w:val="nil"/>
          <w:bottom w:val="nil"/>
          <w:right w:val="nil"/>
          <w:between w:val="nil"/>
        </w:pBdr>
        <w:spacing w:line="276" w:lineRule="auto"/>
        <w:ind w:left="1134" w:hanging="142"/>
        <w:jc w:val="both"/>
        <w:rPr>
          <w:rFonts w:eastAsia="Arial"/>
          <w:color w:val="000000"/>
          <w:szCs w:val="22"/>
          <w:lang w:val="en-US"/>
        </w:rPr>
      </w:pPr>
      <w:r>
        <w:rPr>
          <w:rFonts w:eastAsia="Arial"/>
          <w:color w:val="000000"/>
          <w:szCs w:val="22"/>
        </w:rPr>
        <w:t xml:space="preserve">Herrero-Beaumont G, Roman-Blas JA, Castañeda S y Jíimenez SA. </w:t>
      </w:r>
      <w:r w:rsidRPr="008D05DF">
        <w:rPr>
          <w:rFonts w:eastAsia="Arial"/>
          <w:color w:val="000000"/>
          <w:szCs w:val="22"/>
          <w:lang w:val="en-US"/>
        </w:rPr>
        <w:t>Primary Osteoarthritis No Longer Primary: Three Subsets with Distinct Etiological, Clinical, and Therapeutic Characteristics. Semin.Arthritis Rheum 2009; 39(2):71-80</w:t>
      </w:r>
    </w:p>
    <w:p w:rsidR="00153753" w:rsidRPr="008D05DF" w:rsidRDefault="004C238A">
      <w:pPr>
        <w:pBdr>
          <w:top w:val="nil"/>
          <w:left w:val="nil"/>
          <w:bottom w:val="nil"/>
          <w:right w:val="nil"/>
          <w:between w:val="nil"/>
        </w:pBdr>
        <w:spacing w:line="276" w:lineRule="auto"/>
        <w:ind w:left="1134" w:hanging="142"/>
        <w:jc w:val="both"/>
        <w:rPr>
          <w:rFonts w:eastAsia="Arial"/>
          <w:color w:val="000000"/>
          <w:szCs w:val="22"/>
          <w:lang w:val="en-US"/>
        </w:rPr>
      </w:pPr>
      <w:r w:rsidRPr="008D05DF">
        <w:rPr>
          <w:rFonts w:eastAsia="Arial"/>
          <w:color w:val="000000"/>
          <w:szCs w:val="22"/>
          <w:lang w:val="en-US"/>
        </w:rPr>
        <w:t xml:space="preserve"> Wandel S, Jüni P, Tendal B,</w:t>
      </w:r>
      <w:r w:rsidRPr="008D05DF">
        <w:rPr>
          <w:rFonts w:eastAsia="Arial"/>
          <w:color w:val="000000"/>
          <w:szCs w:val="22"/>
          <w:lang w:val="en-US"/>
        </w:rPr>
        <w:t xml:space="preserve"> Nüesch E, Villiger PM, Welton NJ, Reichenbach S, Trelle S (2010). «Effects of glucosamine, chondroitin, or placebo in patients with osteoarthritis of hip or knee: network meta-analysis». British Medical Journal 341: c4675.  Reichenbach S, Sterchi R, Scher</w:t>
      </w:r>
      <w:r w:rsidRPr="008D05DF">
        <w:rPr>
          <w:rFonts w:eastAsia="Arial"/>
          <w:color w:val="000000"/>
          <w:szCs w:val="22"/>
          <w:lang w:val="en-US"/>
        </w:rPr>
        <w:t xml:space="preserve">er M, et al. Meta-analysis: </w:t>
      </w:r>
      <w:r w:rsidRPr="008D05DF">
        <w:rPr>
          <w:rFonts w:eastAsia="Arial"/>
          <w:color w:val="000000"/>
          <w:szCs w:val="22"/>
          <w:lang w:val="en-US"/>
        </w:rPr>
        <w:lastRenderedPageBreak/>
        <w:t>chondroitin for osteoarthritis of the knee or hip. Ann Intern Med 2007;146:580–90.</w:t>
      </w:r>
    </w:p>
    <w:p w:rsidR="00153753" w:rsidRPr="008D05DF" w:rsidRDefault="004C238A">
      <w:pPr>
        <w:pBdr>
          <w:top w:val="nil"/>
          <w:left w:val="nil"/>
          <w:bottom w:val="nil"/>
          <w:right w:val="nil"/>
          <w:between w:val="nil"/>
        </w:pBdr>
        <w:spacing w:line="276" w:lineRule="auto"/>
        <w:ind w:left="1134" w:hanging="142"/>
        <w:jc w:val="both"/>
        <w:rPr>
          <w:rFonts w:eastAsia="Arial"/>
          <w:color w:val="000000"/>
          <w:szCs w:val="22"/>
          <w:lang w:val="en-US"/>
        </w:rPr>
      </w:pPr>
      <w:r w:rsidRPr="008D05DF">
        <w:rPr>
          <w:rFonts w:eastAsia="Arial"/>
          <w:color w:val="000000"/>
          <w:szCs w:val="22"/>
          <w:lang w:val="en-US"/>
        </w:rPr>
        <w:t xml:space="preserve"> Rapid responses to the article “Wandel et al, BMJ 2010”. bmj.com 2010.</w:t>
      </w:r>
    </w:p>
    <w:p w:rsidR="00153753" w:rsidRPr="008D05DF" w:rsidRDefault="004C238A">
      <w:pPr>
        <w:pBdr>
          <w:top w:val="nil"/>
          <w:left w:val="nil"/>
          <w:bottom w:val="nil"/>
          <w:right w:val="nil"/>
          <w:between w:val="nil"/>
        </w:pBdr>
        <w:spacing w:line="276" w:lineRule="auto"/>
        <w:ind w:left="1134" w:hanging="142"/>
        <w:jc w:val="both"/>
        <w:rPr>
          <w:rFonts w:eastAsia="Arial"/>
          <w:color w:val="000000"/>
          <w:szCs w:val="22"/>
          <w:lang w:val="en-US"/>
        </w:rPr>
      </w:pPr>
      <w:sdt>
        <w:sdtPr>
          <w:tag w:val="goog_rdk_0"/>
          <w:id w:val="1960901891"/>
        </w:sdtPr>
        <w:sdtEndPr/>
        <w:sdtContent>
          <w:r w:rsidRPr="008D05DF">
            <w:rPr>
              <w:rFonts w:ascii="Arial Unicode MS" w:eastAsia="Arial Unicode MS" w:hAnsi="Arial Unicode MS" w:cs="Arial Unicode MS"/>
              <w:color w:val="000000"/>
              <w:szCs w:val="22"/>
              <w:lang w:val="en-US"/>
            </w:rPr>
            <w:t xml:space="preserve"> Pelletier J-P, Hochberg MC, du Souich P, Kahan A, Michel BA. Effect size</w:t>
          </w:r>
          <w:r w:rsidRPr="008D05DF">
            <w:rPr>
              <w:rFonts w:ascii="Arial Unicode MS" w:eastAsia="Arial Unicode MS" w:hAnsi="Arial Unicode MS" w:cs="Arial Unicode MS"/>
              <w:color w:val="000000"/>
              <w:szCs w:val="22"/>
              <w:lang w:val="en-US"/>
            </w:rPr>
            <w:t xml:space="preserve"> is encouraging. Letter to the editor. BMJ 2010; 341: c6328Volver arriba↑ Giacovelli G, Rovati LC. Conclusions not supported by methods and results. Letter to the editor. BMJ 2010; 341: c6338.Volver arriba↑ Reginster J-Y, Altman RD, Hochberg MC. </w:t>
          </w:r>
          <w:r>
            <w:rPr>
              <w:rFonts w:ascii="Arial Unicode MS" w:eastAsia="Arial Unicode MS" w:hAnsi="Arial Unicode MS" w:cs="Arial Unicode MS"/>
              <w:color w:val="000000"/>
              <w:szCs w:val="22"/>
            </w:rPr>
            <w:t>Prescribed</w:t>
          </w:r>
          <w:r>
            <w:rPr>
              <w:rFonts w:ascii="Arial Unicode MS" w:eastAsia="Arial Unicode MS" w:hAnsi="Arial Unicode MS" w:cs="Arial Unicode MS"/>
              <w:color w:val="000000"/>
              <w:szCs w:val="22"/>
            </w:rPr>
            <w:t xml:space="preserve"> regimen is effective. </w:t>
          </w:r>
          <w:r w:rsidRPr="008D05DF">
            <w:rPr>
              <w:rFonts w:ascii="Arial Unicode MS" w:eastAsia="Arial Unicode MS" w:hAnsi="Arial Unicode MS" w:cs="Arial Unicode MS"/>
              <w:color w:val="000000"/>
              <w:szCs w:val="22"/>
              <w:lang w:val="en-US"/>
            </w:rPr>
            <w:t>Letter to the editor. BMJ 2010; 341: c6335.Volver arriba↑ McAlindon TE, et al. Glucosamine and chondroitin for treatment of osteoarthritis: a systematic quality assessment and meta-analysis. JAMA. 2000 Mar 15; 283(11):1469-75Volver a</w:t>
          </w:r>
          <w:r w:rsidRPr="008D05DF">
            <w:rPr>
              <w:rFonts w:ascii="Arial Unicode MS" w:eastAsia="Arial Unicode MS" w:hAnsi="Arial Unicode MS" w:cs="Arial Unicode MS"/>
              <w:color w:val="000000"/>
              <w:szCs w:val="22"/>
              <w:lang w:val="en-US"/>
            </w:rPr>
            <w:t xml:space="preserve">rriba↑ Leeb BF, et al. A metaanalysis of chondroitin sulfate in the treatment of osteoarthritis. J Rheumatol. 2000 Jan;27(1):205-11.Volver arriba↑ Richy F, et al. Structural and symptomatic efficacy of glucosamine and chondroitin in knee osteoarthritis: a </w:t>
          </w:r>
          <w:r w:rsidRPr="008D05DF">
            <w:rPr>
              <w:rFonts w:ascii="Arial Unicode MS" w:eastAsia="Arial Unicode MS" w:hAnsi="Arial Unicode MS" w:cs="Arial Unicode MS"/>
              <w:color w:val="000000"/>
              <w:szCs w:val="22"/>
              <w:lang w:val="en-US"/>
            </w:rPr>
            <w:t>comprehensive meta-analysis. Arch Intern Med. 2003 Jul 14;163(13):1514-22Volver arriba↑ Lee YH, Woo J-H, Choi SJ, Ji JD, Song GG. Effect of glucosamine or chondroitin sulfate on the osteoarthritis progression: a meta-analysis. Rheumatol Int (2010) 30:357–3</w:t>
          </w:r>
          <w:r w:rsidRPr="008D05DF">
            <w:rPr>
              <w:rFonts w:ascii="Arial Unicode MS" w:eastAsia="Arial Unicode MS" w:hAnsi="Arial Unicode MS" w:cs="Arial Unicode MS"/>
              <w:color w:val="000000"/>
              <w:szCs w:val="22"/>
              <w:lang w:val="en-US"/>
            </w:rPr>
            <w:t>63.</w:t>
          </w:r>
        </w:sdtContent>
      </w:sdt>
    </w:p>
    <w:p w:rsidR="00153753" w:rsidRPr="008D05DF" w:rsidRDefault="004C238A">
      <w:pPr>
        <w:pBdr>
          <w:top w:val="nil"/>
          <w:left w:val="nil"/>
          <w:bottom w:val="nil"/>
          <w:right w:val="nil"/>
          <w:between w:val="nil"/>
        </w:pBdr>
        <w:spacing w:line="276" w:lineRule="auto"/>
        <w:ind w:left="1134" w:hanging="142"/>
        <w:jc w:val="both"/>
        <w:rPr>
          <w:rFonts w:eastAsia="Arial"/>
          <w:color w:val="000000"/>
          <w:szCs w:val="22"/>
          <w:lang w:val="en-US"/>
        </w:rPr>
      </w:pPr>
      <w:r w:rsidRPr="008D05DF">
        <w:rPr>
          <w:rFonts w:eastAsia="Arial"/>
          <w:color w:val="000000"/>
          <w:szCs w:val="22"/>
          <w:lang w:val="en-US"/>
        </w:rPr>
        <w:t xml:space="preserve"> Hochberg MC. Structure-modifying effects of chondroitin sulfate in knee osteoarthritis: an updated meta-analysis of randomized placebo-controlled trials of 2-year. Osteoarthritis Cartilage, 2010; 18: S28eS31.</w:t>
      </w:r>
    </w:p>
    <w:p w:rsidR="00153753" w:rsidRDefault="004C238A">
      <w:pPr>
        <w:pBdr>
          <w:top w:val="nil"/>
          <w:left w:val="nil"/>
          <w:bottom w:val="nil"/>
          <w:right w:val="nil"/>
          <w:between w:val="nil"/>
        </w:pBdr>
        <w:spacing w:line="276" w:lineRule="auto"/>
        <w:ind w:left="1134" w:hanging="142"/>
        <w:jc w:val="both"/>
        <w:rPr>
          <w:rFonts w:eastAsia="Arial"/>
          <w:color w:val="000000"/>
          <w:szCs w:val="22"/>
        </w:rPr>
      </w:pPr>
      <w:r w:rsidRPr="008D05DF">
        <w:rPr>
          <w:rFonts w:eastAsia="Arial"/>
          <w:color w:val="000000"/>
          <w:szCs w:val="22"/>
          <w:lang w:val="en-US"/>
        </w:rPr>
        <w:t xml:space="preserve"> Groves, T. Report from BMJ post publica</w:t>
      </w:r>
      <w:r w:rsidRPr="008D05DF">
        <w:rPr>
          <w:rFonts w:eastAsia="Arial"/>
          <w:color w:val="000000"/>
          <w:szCs w:val="22"/>
          <w:lang w:val="en-US"/>
        </w:rPr>
        <w:t xml:space="preserve">tion review meeting. bmj.com 2011. </w:t>
      </w:r>
      <w:r>
        <w:rPr>
          <w:rFonts w:eastAsia="Arial"/>
          <w:color w:val="000000"/>
          <w:szCs w:val="22"/>
        </w:rPr>
        <w:t>[1].</w:t>
      </w:r>
    </w:p>
    <w:p w:rsidR="00153753" w:rsidRDefault="004C238A">
      <w:pPr>
        <w:pBdr>
          <w:top w:val="nil"/>
          <w:left w:val="nil"/>
          <w:bottom w:val="nil"/>
          <w:right w:val="nil"/>
          <w:between w:val="nil"/>
        </w:pBdr>
        <w:spacing w:line="276" w:lineRule="auto"/>
        <w:ind w:left="1134" w:hanging="142"/>
        <w:jc w:val="both"/>
        <w:rPr>
          <w:rFonts w:eastAsia="Arial"/>
          <w:color w:val="000000"/>
          <w:szCs w:val="22"/>
        </w:rPr>
      </w:pPr>
      <w:r>
        <w:rPr>
          <w:rFonts w:eastAsia="Arial"/>
          <w:color w:val="000000"/>
          <w:szCs w:val="22"/>
        </w:rPr>
        <w:t>Wikipedia</w:t>
      </w:r>
    </w:p>
    <w:p w:rsidR="00153753" w:rsidRDefault="00153753">
      <w:pPr>
        <w:pBdr>
          <w:top w:val="nil"/>
          <w:left w:val="nil"/>
          <w:bottom w:val="nil"/>
          <w:right w:val="nil"/>
          <w:between w:val="nil"/>
        </w:pBdr>
        <w:spacing w:line="276" w:lineRule="auto"/>
        <w:ind w:left="1134" w:hanging="140"/>
        <w:jc w:val="both"/>
        <w:rPr>
          <w:rFonts w:eastAsia="Arial"/>
          <w:color w:val="000000"/>
          <w:szCs w:val="22"/>
        </w:rPr>
      </w:pPr>
    </w:p>
    <w:p w:rsidR="00153753" w:rsidRDefault="004C238A">
      <w:pPr>
        <w:spacing w:after="160" w:line="259" w:lineRule="auto"/>
      </w:pPr>
      <w:r>
        <w:br w:type="page"/>
      </w:r>
    </w:p>
    <w:p w:rsidR="00153753" w:rsidRDefault="004C238A">
      <w:pPr>
        <w:pStyle w:val="Ttulo1"/>
        <w:numPr>
          <w:ilvl w:val="0"/>
          <w:numId w:val="11"/>
        </w:numPr>
        <w:ind w:hanging="360"/>
      </w:pPr>
      <w:bookmarkStart w:id="7" w:name="_heading=h.1t3h5sf" w:colFirst="0" w:colLast="0"/>
      <w:bookmarkEnd w:id="7"/>
      <w:r>
        <w:lastRenderedPageBreak/>
        <w:t>EPICONDILITIS</w:t>
      </w:r>
    </w:p>
    <w:p w:rsidR="00153753" w:rsidRDefault="004C238A">
      <w:pPr>
        <w:widowControl w:val="0"/>
        <w:numPr>
          <w:ilvl w:val="1"/>
          <w:numId w:val="11"/>
        </w:numPr>
        <w:pBdr>
          <w:top w:val="nil"/>
          <w:left w:val="nil"/>
          <w:bottom w:val="nil"/>
          <w:right w:val="nil"/>
          <w:between w:val="nil"/>
        </w:pBdr>
        <w:jc w:val="both"/>
      </w:pPr>
      <w:bookmarkStart w:id="8" w:name="_heading=h.4d34og8" w:colFirst="0" w:colLast="0"/>
      <w:bookmarkEnd w:id="8"/>
      <w:r>
        <w:rPr>
          <w:rFonts w:eastAsia="Arial"/>
          <w:b/>
          <w:color w:val="000000"/>
          <w:szCs w:val="22"/>
        </w:rPr>
        <w:t>Objetivo.</w:t>
      </w:r>
      <w:r>
        <w:rPr>
          <w:rFonts w:eastAsia="Arial"/>
          <w:color w:val="000000"/>
          <w:szCs w:val="22"/>
        </w:rPr>
        <w:t xml:space="preserve"> Establecer los lineamientos para el tratamiento de los pacientes que padecen la enfermedad y que son beneficiarios del Programa de Salud del Grupo Centro Médico y Atención Integral de Salud del FBSCGR.</w:t>
      </w:r>
    </w:p>
    <w:p w:rsidR="00153753" w:rsidRDefault="00153753">
      <w:pPr>
        <w:widowControl w:val="0"/>
        <w:pBdr>
          <w:top w:val="nil"/>
          <w:left w:val="nil"/>
          <w:bottom w:val="nil"/>
          <w:right w:val="nil"/>
          <w:between w:val="nil"/>
        </w:pBdr>
        <w:ind w:left="1080"/>
        <w:rPr>
          <w:rFonts w:eastAsia="Arial"/>
          <w:color w:val="000000"/>
          <w:szCs w:val="22"/>
        </w:rPr>
      </w:pPr>
    </w:p>
    <w:p w:rsidR="00153753" w:rsidRDefault="004C238A">
      <w:pPr>
        <w:widowControl w:val="0"/>
        <w:numPr>
          <w:ilvl w:val="1"/>
          <w:numId w:val="11"/>
        </w:numPr>
        <w:pBdr>
          <w:top w:val="nil"/>
          <w:left w:val="nil"/>
          <w:bottom w:val="nil"/>
          <w:right w:val="nil"/>
          <w:between w:val="nil"/>
        </w:pBdr>
      </w:pPr>
      <w:bookmarkStart w:id="9" w:name="_heading=h.2s8eyo1" w:colFirst="0" w:colLast="0"/>
      <w:bookmarkEnd w:id="9"/>
      <w:r>
        <w:rPr>
          <w:rFonts w:eastAsia="Arial"/>
          <w:b/>
          <w:color w:val="000000"/>
          <w:szCs w:val="22"/>
        </w:rPr>
        <w:t>Alcance.</w:t>
      </w:r>
      <w:r>
        <w:rPr>
          <w:rFonts w:eastAsia="Arial"/>
          <w:color w:val="000000"/>
          <w:szCs w:val="22"/>
        </w:rPr>
        <w:t xml:space="preserve"> Este protocolo tiene aplicabilidad en el se</w:t>
      </w:r>
      <w:r>
        <w:rPr>
          <w:rFonts w:eastAsia="Arial"/>
          <w:color w:val="000000"/>
          <w:szCs w:val="22"/>
        </w:rPr>
        <w:t>rvicio de fisiatría de la sede del Grupo Centro Médico y Atención Integral en Salud del FBSCGR.</w:t>
      </w:r>
    </w:p>
    <w:p w:rsidR="00153753" w:rsidRDefault="00153753">
      <w:pPr>
        <w:pBdr>
          <w:top w:val="nil"/>
          <w:left w:val="nil"/>
          <w:bottom w:val="nil"/>
          <w:right w:val="nil"/>
          <w:between w:val="nil"/>
        </w:pBdr>
        <w:ind w:left="720"/>
        <w:rPr>
          <w:rFonts w:eastAsia="Arial"/>
          <w:b/>
          <w:color w:val="000000"/>
          <w:szCs w:val="22"/>
        </w:rPr>
      </w:pPr>
    </w:p>
    <w:p w:rsidR="00153753" w:rsidRDefault="004C238A">
      <w:pPr>
        <w:widowControl w:val="0"/>
        <w:numPr>
          <w:ilvl w:val="1"/>
          <w:numId w:val="11"/>
        </w:numPr>
        <w:pBdr>
          <w:top w:val="nil"/>
          <w:left w:val="nil"/>
          <w:bottom w:val="nil"/>
          <w:right w:val="nil"/>
          <w:between w:val="nil"/>
        </w:pBdr>
      </w:pPr>
      <w:bookmarkStart w:id="10" w:name="_heading=h.17dp8vu" w:colFirst="0" w:colLast="0"/>
      <w:bookmarkEnd w:id="10"/>
      <w:r>
        <w:rPr>
          <w:rFonts w:eastAsia="Arial"/>
          <w:b/>
          <w:color w:val="000000"/>
          <w:szCs w:val="22"/>
        </w:rPr>
        <w:t xml:space="preserve">Responsable. </w:t>
      </w:r>
      <w:r>
        <w:rPr>
          <w:rFonts w:eastAsia="Arial"/>
          <w:color w:val="000000"/>
          <w:szCs w:val="22"/>
        </w:rPr>
        <w:t>Profesional Especializado Grado 21</w:t>
      </w:r>
    </w:p>
    <w:p w:rsidR="00153753" w:rsidRDefault="00153753">
      <w:pPr>
        <w:pBdr>
          <w:top w:val="nil"/>
          <w:left w:val="nil"/>
          <w:bottom w:val="nil"/>
          <w:right w:val="nil"/>
          <w:between w:val="nil"/>
        </w:pBdr>
        <w:ind w:left="720"/>
        <w:rPr>
          <w:rFonts w:eastAsia="Arial"/>
          <w:color w:val="000000"/>
          <w:szCs w:val="22"/>
        </w:rPr>
      </w:pPr>
    </w:p>
    <w:p w:rsidR="00153753" w:rsidRDefault="004C238A">
      <w:pPr>
        <w:widowControl w:val="0"/>
        <w:numPr>
          <w:ilvl w:val="1"/>
          <w:numId w:val="11"/>
        </w:numPr>
        <w:pBdr>
          <w:top w:val="nil"/>
          <w:left w:val="nil"/>
          <w:bottom w:val="nil"/>
          <w:right w:val="nil"/>
          <w:between w:val="nil"/>
        </w:pBdr>
        <w:rPr>
          <w:rFonts w:eastAsia="Arial"/>
          <w:b/>
          <w:color w:val="000000"/>
          <w:szCs w:val="22"/>
        </w:rPr>
      </w:pPr>
      <w:r>
        <w:rPr>
          <w:rFonts w:eastAsia="Arial"/>
          <w:b/>
          <w:color w:val="000000"/>
          <w:szCs w:val="22"/>
        </w:rPr>
        <w:t>Definiciones.</w:t>
      </w:r>
    </w:p>
    <w:p w:rsidR="00153753" w:rsidRDefault="00153753">
      <w:pPr>
        <w:pBdr>
          <w:top w:val="nil"/>
          <w:left w:val="nil"/>
          <w:bottom w:val="nil"/>
          <w:right w:val="nil"/>
          <w:between w:val="nil"/>
        </w:pBdr>
        <w:ind w:left="720"/>
        <w:rPr>
          <w:rFonts w:eastAsia="Arial"/>
          <w:b/>
          <w:color w:val="000000"/>
          <w:szCs w:val="22"/>
        </w:rPr>
      </w:pPr>
    </w:p>
    <w:p w:rsidR="00153753" w:rsidRDefault="00153753">
      <w:pPr>
        <w:widowControl w:val="0"/>
        <w:pBdr>
          <w:top w:val="nil"/>
          <w:left w:val="nil"/>
          <w:bottom w:val="nil"/>
          <w:right w:val="nil"/>
          <w:between w:val="nil"/>
        </w:pBdr>
        <w:rPr>
          <w:rFonts w:eastAsia="Arial"/>
          <w:b/>
          <w:color w:val="000000"/>
          <w:szCs w:val="22"/>
        </w:rPr>
      </w:pPr>
    </w:p>
    <w:p w:rsidR="00153753" w:rsidRDefault="004C238A">
      <w:pPr>
        <w:numPr>
          <w:ilvl w:val="2"/>
          <w:numId w:val="11"/>
        </w:numPr>
        <w:pBdr>
          <w:top w:val="nil"/>
          <w:left w:val="nil"/>
          <w:bottom w:val="nil"/>
          <w:right w:val="nil"/>
          <w:between w:val="nil"/>
        </w:pBdr>
        <w:jc w:val="both"/>
        <w:rPr>
          <w:rFonts w:eastAsia="Arial"/>
          <w:color w:val="000000"/>
          <w:szCs w:val="22"/>
        </w:rPr>
      </w:pPr>
      <w:r>
        <w:rPr>
          <w:rFonts w:eastAsia="Arial"/>
          <w:b/>
          <w:color w:val="000000"/>
          <w:szCs w:val="22"/>
        </w:rPr>
        <w:t>Epífisis:</w:t>
      </w:r>
      <w:r>
        <w:rPr>
          <w:rFonts w:eastAsia="Arial"/>
          <w:color w:val="000000"/>
          <w:szCs w:val="22"/>
        </w:rPr>
        <w:t xml:space="preserve"> Cada uno de los extremos ensanchados de los huesos largos, situados a ambos lados de la parte larga central o diáfisis</w:t>
      </w:r>
    </w:p>
    <w:p w:rsidR="00153753" w:rsidRDefault="004C238A">
      <w:pPr>
        <w:numPr>
          <w:ilvl w:val="2"/>
          <w:numId w:val="11"/>
        </w:numPr>
        <w:pBdr>
          <w:top w:val="nil"/>
          <w:left w:val="nil"/>
          <w:bottom w:val="nil"/>
          <w:right w:val="nil"/>
          <w:between w:val="nil"/>
        </w:pBdr>
        <w:jc w:val="both"/>
        <w:rPr>
          <w:rFonts w:eastAsia="Arial"/>
          <w:color w:val="000000"/>
          <w:szCs w:val="22"/>
        </w:rPr>
      </w:pPr>
      <w:r>
        <w:rPr>
          <w:rFonts w:eastAsia="Arial"/>
          <w:b/>
          <w:color w:val="000000"/>
          <w:szCs w:val="22"/>
        </w:rPr>
        <w:t xml:space="preserve">Lesión: </w:t>
      </w:r>
      <w:r>
        <w:rPr>
          <w:rFonts w:eastAsia="Arial"/>
          <w:color w:val="202124"/>
          <w:sz w:val="21"/>
          <w:szCs w:val="21"/>
          <w:highlight w:val="white"/>
        </w:rPr>
        <w:t>Alteración o daño que se produce en alguna parte del cuerpo a causa de un golpe, una enfermedad.</w:t>
      </w:r>
    </w:p>
    <w:p w:rsidR="00153753" w:rsidRDefault="004C238A">
      <w:pPr>
        <w:numPr>
          <w:ilvl w:val="2"/>
          <w:numId w:val="11"/>
        </w:numPr>
        <w:pBdr>
          <w:top w:val="nil"/>
          <w:left w:val="nil"/>
          <w:bottom w:val="nil"/>
          <w:right w:val="nil"/>
          <w:between w:val="nil"/>
        </w:pBdr>
        <w:jc w:val="both"/>
        <w:rPr>
          <w:rFonts w:eastAsia="Arial"/>
          <w:color w:val="000000"/>
          <w:szCs w:val="22"/>
        </w:rPr>
      </w:pPr>
      <w:r>
        <w:rPr>
          <w:rFonts w:eastAsia="Arial"/>
          <w:b/>
          <w:color w:val="000000"/>
          <w:szCs w:val="22"/>
        </w:rPr>
        <w:t>Tendón:</w:t>
      </w:r>
      <w:r>
        <w:rPr>
          <w:rFonts w:eastAsia="Arial"/>
          <w:color w:val="000000"/>
          <w:szCs w:val="22"/>
        </w:rPr>
        <w:t xml:space="preserve"> </w:t>
      </w:r>
      <w:r>
        <w:rPr>
          <w:rFonts w:eastAsia="Arial"/>
          <w:color w:val="202124"/>
          <w:sz w:val="21"/>
          <w:szCs w:val="21"/>
          <w:highlight w:val="white"/>
        </w:rPr>
        <w:t>Haz de fibras conjuntiv</w:t>
      </w:r>
      <w:r>
        <w:rPr>
          <w:rFonts w:eastAsia="Arial"/>
          <w:color w:val="202124"/>
          <w:sz w:val="21"/>
          <w:szCs w:val="21"/>
          <w:highlight w:val="white"/>
        </w:rPr>
        <w:t>as que une los músculos a los huesos</w:t>
      </w:r>
    </w:p>
    <w:p w:rsidR="00153753" w:rsidRDefault="00153753">
      <w:pPr>
        <w:jc w:val="both"/>
      </w:pPr>
    </w:p>
    <w:p w:rsidR="00153753" w:rsidRDefault="00153753">
      <w:pPr>
        <w:pBdr>
          <w:top w:val="nil"/>
          <w:left w:val="nil"/>
          <w:bottom w:val="nil"/>
          <w:right w:val="nil"/>
          <w:between w:val="nil"/>
        </w:pBdr>
        <w:ind w:left="720"/>
        <w:rPr>
          <w:rFonts w:eastAsia="Arial"/>
          <w:color w:val="000000"/>
          <w:szCs w:val="22"/>
        </w:rPr>
      </w:pPr>
    </w:p>
    <w:p w:rsidR="00153753" w:rsidRDefault="004C238A">
      <w:pPr>
        <w:pStyle w:val="Ttulo2"/>
        <w:numPr>
          <w:ilvl w:val="1"/>
          <w:numId w:val="11"/>
        </w:numPr>
      </w:pPr>
      <w:bookmarkStart w:id="11" w:name="_heading=h.3rdcrjn" w:colFirst="0" w:colLast="0"/>
      <w:bookmarkEnd w:id="11"/>
      <w:r>
        <w:t>Desarrollo</w:t>
      </w:r>
    </w:p>
    <w:p w:rsidR="00153753" w:rsidRDefault="00153753"/>
    <w:p w:rsidR="00153753" w:rsidRDefault="004C238A">
      <w:pPr>
        <w:numPr>
          <w:ilvl w:val="2"/>
          <w:numId w:val="11"/>
        </w:numPr>
        <w:pBdr>
          <w:top w:val="nil"/>
          <w:left w:val="nil"/>
          <w:bottom w:val="nil"/>
          <w:right w:val="nil"/>
          <w:between w:val="nil"/>
        </w:pBdr>
        <w:jc w:val="both"/>
        <w:rPr>
          <w:rFonts w:eastAsia="Arial"/>
          <w:b/>
          <w:color w:val="000000"/>
          <w:szCs w:val="22"/>
        </w:rPr>
      </w:pPr>
      <w:r>
        <w:rPr>
          <w:rFonts w:eastAsia="Arial"/>
          <w:b/>
          <w:color w:val="000000"/>
          <w:szCs w:val="22"/>
        </w:rPr>
        <w:t xml:space="preserve">Conceptualización </w:t>
      </w: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Consiste  una lesión caracterizada por dolor en la cara externa del codo, en la región del </w:t>
      </w:r>
      <w:hyperlink r:id="rId49">
        <w:r>
          <w:rPr>
            <w:rFonts w:eastAsia="Arial"/>
            <w:color w:val="000000"/>
            <w:szCs w:val="22"/>
          </w:rPr>
          <w:t>epicóndilo</w:t>
        </w:r>
      </w:hyperlink>
      <w:r>
        <w:rPr>
          <w:rFonts w:eastAsia="Arial"/>
          <w:color w:val="000000"/>
          <w:szCs w:val="22"/>
        </w:rPr>
        <w:t>, eminencia ósea que se encuentra en la parte lateral y externa de la </w:t>
      </w:r>
      <w:hyperlink r:id="rId50">
        <w:r>
          <w:rPr>
            <w:rFonts w:eastAsia="Arial"/>
            <w:color w:val="000000"/>
            <w:szCs w:val="22"/>
          </w:rPr>
          <w:t>epífisis</w:t>
        </w:r>
      </w:hyperlink>
      <w:r>
        <w:rPr>
          <w:rFonts w:eastAsia="Arial"/>
          <w:color w:val="000000"/>
          <w:szCs w:val="22"/>
        </w:rPr>
        <w:t> inferior del </w:t>
      </w:r>
      <w:hyperlink r:id="rId51">
        <w:r>
          <w:rPr>
            <w:rFonts w:eastAsia="Arial"/>
            <w:color w:val="000000"/>
            <w:szCs w:val="22"/>
          </w:rPr>
          <w:t>húmero</w:t>
        </w:r>
      </w:hyperlink>
      <w:r>
        <w:rPr>
          <w:rFonts w:eastAsia="Arial"/>
          <w:color w:val="000000"/>
          <w:szCs w:val="22"/>
        </w:rPr>
        <w:t>. Está provocada por movimientos r</w:t>
      </w:r>
      <w:r>
        <w:rPr>
          <w:rFonts w:eastAsia="Arial"/>
          <w:color w:val="000000"/>
          <w:szCs w:val="22"/>
        </w:rPr>
        <w:t>epetitivos de </w:t>
      </w:r>
      <w:hyperlink r:id="rId52">
        <w:r>
          <w:rPr>
            <w:rFonts w:eastAsia="Arial"/>
            <w:color w:val="000000"/>
            <w:szCs w:val="22"/>
          </w:rPr>
          <w:t>extensión</w:t>
        </w:r>
      </w:hyperlink>
      <w:r>
        <w:rPr>
          <w:rFonts w:eastAsia="Arial"/>
          <w:color w:val="000000"/>
          <w:szCs w:val="22"/>
        </w:rPr>
        <w:t> de la muñeca y </w:t>
      </w:r>
      <w:hyperlink r:id="rId53">
        <w:r>
          <w:rPr>
            <w:rFonts w:eastAsia="Arial"/>
            <w:color w:val="000000"/>
            <w:szCs w:val="22"/>
          </w:rPr>
          <w:t>supinación</w:t>
        </w:r>
      </w:hyperlink>
      <w:r>
        <w:rPr>
          <w:rFonts w:eastAsia="Arial"/>
          <w:color w:val="000000"/>
          <w:szCs w:val="22"/>
        </w:rPr>
        <w:t> del antebrazo, lo que ocasiona micro traumas  fibrilares y re</w:t>
      </w:r>
      <w:r>
        <w:rPr>
          <w:rFonts w:eastAsia="Arial"/>
          <w:color w:val="000000"/>
          <w:szCs w:val="22"/>
        </w:rPr>
        <w:t>paración inadecuada a nivel de los tendones de los músculos que se originan en la región del epicóndilo, principalmente del tendón del </w:t>
      </w:r>
      <w:hyperlink r:id="rId54">
        <w:r>
          <w:rPr>
            <w:rFonts w:eastAsia="Arial"/>
            <w:color w:val="000000"/>
            <w:szCs w:val="22"/>
          </w:rPr>
          <w:t>músculo extensor radial corto del carpo</w:t>
        </w:r>
      </w:hyperlink>
      <w:r>
        <w:rPr>
          <w:rFonts w:eastAsia="Arial"/>
          <w:color w:val="000000"/>
          <w:szCs w:val="22"/>
        </w:rPr>
        <w:t>.</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Cualquier persona que realice trabajos que impliquen movimientos repetidos de </w:t>
      </w:r>
      <w:hyperlink r:id="rId55">
        <w:r>
          <w:rPr>
            <w:rFonts w:eastAsia="Arial"/>
            <w:color w:val="000000"/>
            <w:szCs w:val="22"/>
          </w:rPr>
          <w:t>supinación</w:t>
        </w:r>
      </w:hyperlink>
      <w:r>
        <w:rPr>
          <w:rFonts w:eastAsia="Arial"/>
          <w:color w:val="000000"/>
          <w:szCs w:val="22"/>
        </w:rPr>
        <w:t xml:space="preserve"> del antebrazo y extensión de muñeca es susceptible de sufrir </w:t>
      </w:r>
      <w:r>
        <w:rPr>
          <w:rFonts w:eastAsia="Arial"/>
          <w:color w:val="000000"/>
          <w:szCs w:val="22"/>
        </w:rPr>
        <w:t>esta condición.</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 xml:space="preserve"> </w:t>
      </w:r>
    </w:p>
    <w:p w:rsidR="00153753" w:rsidRDefault="004C238A">
      <w:pPr>
        <w:pBdr>
          <w:top w:val="nil"/>
          <w:left w:val="nil"/>
          <w:bottom w:val="nil"/>
          <w:right w:val="nil"/>
          <w:between w:val="nil"/>
        </w:pBdr>
        <w:spacing w:line="276" w:lineRule="auto"/>
        <w:ind w:left="720"/>
        <w:jc w:val="both"/>
        <w:rPr>
          <w:rFonts w:eastAsia="Arial"/>
          <w:color w:val="000000"/>
          <w:szCs w:val="22"/>
          <w:vertAlign w:val="superscript"/>
        </w:rPr>
      </w:pPr>
      <w:r>
        <w:rPr>
          <w:rFonts w:eastAsia="Arial"/>
          <w:color w:val="000000"/>
          <w:szCs w:val="22"/>
        </w:rPr>
        <w:t>La epicondilitis recibe a veces el nombre de epicondilitis lateral, para diferenciarla de la </w:t>
      </w:r>
      <w:hyperlink r:id="rId56">
        <w:r>
          <w:rPr>
            <w:rFonts w:eastAsia="Arial"/>
            <w:color w:val="000000"/>
            <w:szCs w:val="22"/>
          </w:rPr>
          <w:t>epitrocleitis</w:t>
        </w:r>
      </w:hyperlink>
      <w:r>
        <w:rPr>
          <w:rFonts w:eastAsia="Arial"/>
          <w:color w:val="000000"/>
          <w:szCs w:val="22"/>
        </w:rPr>
        <w:t>, también llamada </w:t>
      </w:r>
      <w:hyperlink r:id="rId57">
        <w:r>
          <w:rPr>
            <w:rFonts w:eastAsia="Arial"/>
            <w:color w:val="000000"/>
            <w:szCs w:val="22"/>
          </w:rPr>
          <w:t>epicondilitis medial</w:t>
        </w:r>
      </w:hyperlink>
      <w:r>
        <w:rPr>
          <w:rFonts w:eastAsia="Arial"/>
          <w:color w:val="000000"/>
          <w:szCs w:val="22"/>
        </w:rPr>
        <w:t>  en la que el dolor se localiza en la porción interna del codo.</w:t>
      </w:r>
      <w:r>
        <w:rPr>
          <w:rFonts w:eastAsia="Arial"/>
          <w:color w:val="000000"/>
          <w:szCs w:val="22"/>
          <w:vertAlign w:val="superscript"/>
        </w:rPr>
        <w:t xml:space="preserve"> </w:t>
      </w:r>
    </w:p>
    <w:p w:rsidR="00153753" w:rsidRDefault="00153753">
      <w:pPr>
        <w:pBdr>
          <w:top w:val="nil"/>
          <w:left w:val="nil"/>
          <w:bottom w:val="nil"/>
          <w:right w:val="nil"/>
          <w:between w:val="nil"/>
        </w:pBdr>
        <w:spacing w:line="276" w:lineRule="auto"/>
        <w:ind w:left="720"/>
        <w:jc w:val="both"/>
        <w:rPr>
          <w:rFonts w:eastAsia="Arial"/>
          <w:color w:val="000000"/>
          <w:szCs w:val="22"/>
          <w:vertAlign w:val="superscript"/>
        </w:rPr>
      </w:pP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Está provocada por movimientos repetitivos en los que se realiza la </w:t>
      </w:r>
      <w:hyperlink r:id="rId58">
        <w:r>
          <w:rPr>
            <w:rFonts w:eastAsia="Arial"/>
            <w:color w:val="000000"/>
            <w:szCs w:val="22"/>
          </w:rPr>
          <w:t>extensión</w:t>
        </w:r>
      </w:hyperlink>
      <w:r>
        <w:rPr>
          <w:rFonts w:eastAsia="Arial"/>
          <w:color w:val="000000"/>
          <w:szCs w:val="22"/>
        </w:rPr>
        <w:t> de la muñeca,  y  </w:t>
      </w:r>
      <w:hyperlink r:id="rId59">
        <w:r>
          <w:rPr>
            <w:rFonts w:eastAsia="Arial"/>
            <w:color w:val="000000"/>
            <w:szCs w:val="22"/>
          </w:rPr>
          <w:t>supinación</w:t>
        </w:r>
      </w:hyperlink>
      <w:r>
        <w:rPr>
          <w:rFonts w:eastAsia="Arial"/>
          <w:color w:val="000000"/>
          <w:szCs w:val="22"/>
        </w:rPr>
        <w:t> del antebrazo, lo cual ocasiona una tendinitis que afecta a los tendones de los músculos que se insertan en el epicóndilo.</w:t>
      </w: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La incidencia máxima de epic</w:t>
      </w:r>
      <w:r>
        <w:rPr>
          <w:rFonts w:eastAsia="Arial"/>
          <w:color w:val="000000"/>
          <w:szCs w:val="22"/>
        </w:rPr>
        <w:t xml:space="preserve">ondilitis tiene lugar entre los 34 y 54 años.  </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La lesión es más frecuente en el codo que corresponde a la mano dominante. Además, existe una relación clara con ciertas actividades profesionales o la práctica de deportes.</w:t>
      </w:r>
    </w:p>
    <w:p w:rsidR="00153753" w:rsidRDefault="004C238A">
      <w:pPr>
        <w:pBdr>
          <w:top w:val="nil"/>
          <w:left w:val="nil"/>
          <w:bottom w:val="nil"/>
          <w:right w:val="nil"/>
          <w:between w:val="nil"/>
        </w:pBdr>
        <w:spacing w:line="276" w:lineRule="auto"/>
        <w:ind w:left="720"/>
        <w:rPr>
          <w:rFonts w:eastAsia="Arial"/>
          <w:color w:val="000000"/>
          <w:szCs w:val="22"/>
        </w:rPr>
      </w:pPr>
      <w:r>
        <w:rPr>
          <w:rFonts w:eastAsia="Arial"/>
          <w:color w:val="000000"/>
          <w:szCs w:val="22"/>
        </w:rPr>
        <w:t xml:space="preserve">El diagnóstico es clínico, siendo </w:t>
      </w:r>
      <w:r>
        <w:rPr>
          <w:rFonts w:eastAsia="Arial"/>
          <w:color w:val="000000"/>
          <w:szCs w:val="22"/>
        </w:rPr>
        <w:t>muy sugerentes los síntomas y signos que refiere el paciente. La exploración radiológica mediante rayos x raramente demuestra alguna anormalidad.</w:t>
      </w:r>
    </w:p>
    <w:p w:rsidR="00153753" w:rsidRDefault="00153753">
      <w:pPr>
        <w:pBdr>
          <w:top w:val="nil"/>
          <w:left w:val="nil"/>
          <w:bottom w:val="nil"/>
          <w:right w:val="nil"/>
          <w:between w:val="nil"/>
        </w:pBdr>
        <w:spacing w:line="276" w:lineRule="auto"/>
        <w:ind w:left="720"/>
        <w:rPr>
          <w:rFonts w:eastAsia="Arial"/>
          <w:color w:val="000000"/>
          <w:szCs w:val="22"/>
        </w:rPr>
      </w:pPr>
    </w:p>
    <w:p w:rsidR="00153753" w:rsidRDefault="004C238A">
      <w:pPr>
        <w:pBdr>
          <w:top w:val="nil"/>
          <w:left w:val="nil"/>
          <w:bottom w:val="nil"/>
          <w:right w:val="nil"/>
          <w:between w:val="nil"/>
        </w:pBdr>
        <w:spacing w:line="276" w:lineRule="auto"/>
        <w:ind w:left="720"/>
        <w:rPr>
          <w:rFonts w:eastAsia="Arial"/>
          <w:color w:val="000000"/>
          <w:szCs w:val="22"/>
        </w:rPr>
      </w:pPr>
      <w:r>
        <w:rPr>
          <w:rFonts w:eastAsia="Arial"/>
          <w:color w:val="000000"/>
          <w:szCs w:val="22"/>
        </w:rPr>
        <w:t>Tratamiento</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 xml:space="preserve">El objetivo del tratamiento es aliviar o eliminar el dolor y la inflamación.  </w:t>
      </w:r>
    </w:p>
    <w:p w:rsidR="00153753" w:rsidRDefault="004C238A">
      <w:pPr>
        <w:numPr>
          <w:ilvl w:val="0"/>
          <w:numId w:val="4"/>
        </w:numPr>
        <w:pBdr>
          <w:top w:val="nil"/>
          <w:left w:val="nil"/>
          <w:bottom w:val="nil"/>
          <w:right w:val="nil"/>
          <w:between w:val="nil"/>
        </w:pBdr>
        <w:jc w:val="both"/>
        <w:rPr>
          <w:rFonts w:eastAsia="Arial"/>
          <w:color w:val="000000"/>
          <w:szCs w:val="22"/>
        </w:rPr>
      </w:pPr>
      <w:hyperlink r:id="rId60">
        <w:r>
          <w:rPr>
            <w:rFonts w:eastAsia="Arial"/>
            <w:color w:val="000000"/>
            <w:szCs w:val="22"/>
          </w:rPr>
          <w:t>Antiinflamatorios no esteroides</w:t>
        </w:r>
      </w:hyperlink>
      <w:r>
        <w:rPr>
          <w:rFonts w:eastAsia="Arial"/>
          <w:color w:val="000000"/>
          <w:szCs w:val="22"/>
        </w:rPr>
        <w:t> (AINES) administrados por vía oral en forma de comprimidos, o por vía tópica en forma de cremas o geles.</w:t>
      </w:r>
    </w:p>
    <w:p w:rsidR="00153753" w:rsidRDefault="004C238A">
      <w:pPr>
        <w:numPr>
          <w:ilvl w:val="0"/>
          <w:numId w:val="4"/>
        </w:numPr>
        <w:pBdr>
          <w:top w:val="nil"/>
          <w:left w:val="nil"/>
          <w:bottom w:val="nil"/>
          <w:right w:val="nil"/>
          <w:between w:val="nil"/>
        </w:pBdr>
        <w:jc w:val="both"/>
        <w:rPr>
          <w:rFonts w:eastAsia="Arial"/>
          <w:color w:val="000000"/>
          <w:szCs w:val="22"/>
        </w:rPr>
      </w:pPr>
      <w:r>
        <w:rPr>
          <w:rFonts w:eastAsia="Arial"/>
          <w:color w:val="000000"/>
          <w:szCs w:val="22"/>
        </w:rPr>
        <w:t xml:space="preserve">Opioides administrados por vía oral para el manejo del </w:t>
      </w:r>
      <w:r>
        <w:rPr>
          <w:rFonts w:eastAsia="Arial"/>
          <w:color w:val="000000"/>
          <w:szCs w:val="22"/>
        </w:rPr>
        <w:t>dolor crónico o agudo.</w:t>
      </w:r>
    </w:p>
    <w:p w:rsidR="00153753" w:rsidRDefault="004C238A">
      <w:pPr>
        <w:numPr>
          <w:ilvl w:val="0"/>
          <w:numId w:val="4"/>
        </w:numPr>
        <w:pBdr>
          <w:top w:val="nil"/>
          <w:left w:val="nil"/>
          <w:bottom w:val="nil"/>
          <w:right w:val="nil"/>
          <w:between w:val="nil"/>
        </w:pBdr>
        <w:jc w:val="both"/>
        <w:rPr>
          <w:rFonts w:eastAsia="Arial"/>
          <w:color w:val="000000"/>
          <w:szCs w:val="22"/>
        </w:rPr>
      </w:pPr>
      <w:r>
        <w:rPr>
          <w:rFonts w:eastAsia="Arial"/>
          <w:color w:val="000000"/>
          <w:szCs w:val="22"/>
        </w:rPr>
        <w:t>Reposo de la articulación. Reducción de las actividades que provoquen el dolor, disminuyendo el tiempo de actividad y la intensidad del esfuerzo.</w:t>
      </w:r>
    </w:p>
    <w:p w:rsidR="00153753" w:rsidRDefault="004C238A">
      <w:pPr>
        <w:numPr>
          <w:ilvl w:val="0"/>
          <w:numId w:val="4"/>
        </w:numPr>
        <w:pBdr>
          <w:top w:val="nil"/>
          <w:left w:val="nil"/>
          <w:bottom w:val="nil"/>
          <w:right w:val="nil"/>
          <w:between w:val="nil"/>
        </w:pBdr>
        <w:jc w:val="both"/>
        <w:rPr>
          <w:rFonts w:eastAsia="Arial"/>
          <w:color w:val="000000"/>
          <w:szCs w:val="22"/>
        </w:rPr>
      </w:pPr>
      <w:hyperlink r:id="rId61">
        <w:r>
          <w:rPr>
            <w:rFonts w:eastAsia="Arial"/>
            <w:color w:val="000000"/>
            <w:szCs w:val="22"/>
          </w:rPr>
          <w:t>Fisioterapia</w:t>
        </w:r>
      </w:hyperlink>
      <w:r>
        <w:rPr>
          <w:rFonts w:eastAsia="Arial"/>
          <w:color w:val="000000"/>
          <w:szCs w:val="22"/>
        </w:rPr>
        <w:t>, mediante la aplicación de calor local, ultrasonidos, </w:t>
      </w:r>
      <w:hyperlink r:id="rId62">
        <w:r>
          <w:rPr>
            <w:rFonts w:eastAsia="Arial"/>
            <w:color w:val="000000"/>
            <w:szCs w:val="22"/>
          </w:rPr>
          <w:t>electroterapia</w:t>
        </w:r>
      </w:hyperlink>
      <w:r>
        <w:rPr>
          <w:rFonts w:eastAsia="Arial"/>
          <w:color w:val="000000"/>
          <w:szCs w:val="22"/>
        </w:rPr>
        <w:t>, láser, técnicas de </w:t>
      </w:r>
      <w:hyperlink r:id="rId63">
        <w:r>
          <w:rPr>
            <w:rFonts w:eastAsia="Arial"/>
            <w:color w:val="000000"/>
            <w:szCs w:val="22"/>
          </w:rPr>
          <w:t>masaje</w:t>
        </w:r>
      </w:hyperlink>
      <w:r>
        <w:rPr>
          <w:rFonts w:eastAsia="Arial"/>
          <w:color w:val="000000"/>
          <w:szCs w:val="22"/>
        </w:rPr>
        <w:t xml:space="preserve">, ondas de choque, realización de ciertos ejercicios y otras técnicas. </w:t>
      </w:r>
    </w:p>
    <w:p w:rsidR="00153753" w:rsidRDefault="004C238A">
      <w:pPr>
        <w:numPr>
          <w:ilvl w:val="0"/>
          <w:numId w:val="4"/>
        </w:numPr>
        <w:pBdr>
          <w:top w:val="nil"/>
          <w:left w:val="nil"/>
          <w:bottom w:val="nil"/>
          <w:right w:val="nil"/>
          <w:between w:val="nil"/>
        </w:pBdr>
        <w:jc w:val="both"/>
        <w:rPr>
          <w:rFonts w:eastAsia="Arial"/>
          <w:color w:val="000000"/>
          <w:szCs w:val="22"/>
        </w:rPr>
      </w:pPr>
      <w:hyperlink r:id="rId64">
        <w:r>
          <w:rPr>
            <w:rFonts w:eastAsia="Arial"/>
            <w:color w:val="000000"/>
            <w:szCs w:val="22"/>
          </w:rPr>
          <w:t>Infiltración</w:t>
        </w:r>
      </w:hyperlink>
      <w:r>
        <w:rPr>
          <w:rFonts w:eastAsia="Arial"/>
          <w:color w:val="000000"/>
          <w:szCs w:val="22"/>
        </w:rPr>
        <w:t>, consiste  en la  inyección local de corticoides asociados o no a un anestésico local. La</w:t>
      </w:r>
      <w:r>
        <w:rPr>
          <w:rFonts w:eastAsia="Arial"/>
          <w:color w:val="000000"/>
          <w:szCs w:val="22"/>
        </w:rPr>
        <w:t>s infiltraciones con </w:t>
      </w:r>
      <w:hyperlink r:id="rId65">
        <w:r>
          <w:rPr>
            <w:rFonts w:eastAsia="Arial"/>
            <w:color w:val="000000"/>
            <w:szCs w:val="22"/>
          </w:rPr>
          <w:t>corticoides</w:t>
        </w:r>
      </w:hyperlink>
      <w:r>
        <w:rPr>
          <w:rFonts w:eastAsia="Arial"/>
          <w:color w:val="000000"/>
          <w:szCs w:val="22"/>
        </w:rPr>
        <w:t> inyectados alrededor del epicóndilo pueden resolver los episodios de dolor durante un tiempo, aunque las molestias pueden reaparecer.</w:t>
      </w:r>
    </w:p>
    <w:p w:rsidR="00153753" w:rsidRDefault="004C238A">
      <w:pPr>
        <w:numPr>
          <w:ilvl w:val="0"/>
          <w:numId w:val="4"/>
        </w:numPr>
        <w:pBdr>
          <w:top w:val="nil"/>
          <w:left w:val="nil"/>
          <w:bottom w:val="nil"/>
          <w:right w:val="nil"/>
          <w:between w:val="nil"/>
        </w:pBdr>
        <w:jc w:val="both"/>
        <w:rPr>
          <w:rFonts w:eastAsia="Arial"/>
          <w:color w:val="000000"/>
          <w:szCs w:val="22"/>
        </w:rPr>
      </w:pPr>
      <w:r>
        <w:rPr>
          <w:rFonts w:eastAsia="Arial"/>
          <w:color w:val="000000"/>
          <w:szCs w:val="22"/>
        </w:rPr>
        <w:t>Terapia ocupacional. Es recom</w:t>
      </w:r>
      <w:r>
        <w:rPr>
          <w:rFonts w:eastAsia="Arial"/>
          <w:color w:val="000000"/>
          <w:szCs w:val="22"/>
        </w:rPr>
        <w:t>endable limitar los movimientos que producen la patología. Debe realizarse un estudio ergonómico del puesto de trabajo para evitar los movimientos repetitivos que provocan la enfermedad.</w:t>
      </w:r>
    </w:p>
    <w:p w:rsidR="00153753" w:rsidRDefault="004C238A">
      <w:pPr>
        <w:numPr>
          <w:ilvl w:val="0"/>
          <w:numId w:val="4"/>
        </w:numPr>
        <w:pBdr>
          <w:top w:val="nil"/>
          <w:left w:val="nil"/>
          <w:bottom w:val="nil"/>
          <w:right w:val="nil"/>
          <w:between w:val="nil"/>
        </w:pBdr>
        <w:jc w:val="both"/>
        <w:rPr>
          <w:rFonts w:eastAsia="Arial"/>
          <w:color w:val="000000"/>
          <w:szCs w:val="22"/>
        </w:rPr>
      </w:pPr>
      <w:r>
        <w:rPr>
          <w:rFonts w:eastAsia="Arial"/>
          <w:color w:val="000000"/>
          <w:szCs w:val="22"/>
        </w:rPr>
        <w:t>Cirugía. Está recomendada en ciertos casos que no responden a ninguna</w:t>
      </w:r>
      <w:r>
        <w:rPr>
          <w:rFonts w:eastAsia="Arial"/>
          <w:color w:val="000000"/>
          <w:szCs w:val="22"/>
        </w:rPr>
        <w:t xml:space="preserve"> de las medidas anteriores. Puede realizarse mediante incisión abierta o con la técnica de </w:t>
      </w:r>
      <w:hyperlink r:id="rId66">
        <w:r>
          <w:rPr>
            <w:rFonts w:eastAsia="Arial"/>
            <w:color w:val="000000"/>
            <w:szCs w:val="22"/>
          </w:rPr>
          <w:t>artroscopia</w:t>
        </w:r>
      </w:hyperlink>
      <w:r>
        <w:rPr>
          <w:rFonts w:eastAsia="Arial"/>
          <w:color w:val="000000"/>
          <w:szCs w:val="22"/>
        </w:rPr>
        <w:t>. Generalmente se practica la sección quirúrgica del tendón del músculo </w:t>
      </w:r>
      <w:hyperlink r:id="rId67">
        <w:r>
          <w:rPr>
            <w:rFonts w:eastAsia="Arial"/>
            <w:color w:val="000000"/>
            <w:szCs w:val="22"/>
          </w:rPr>
          <w:t>extensor carpi radialis brevis</w:t>
        </w:r>
      </w:hyperlink>
      <w:r>
        <w:rPr>
          <w:rFonts w:eastAsia="Arial"/>
          <w:color w:val="000000"/>
          <w:szCs w:val="22"/>
        </w:rPr>
        <w:t> a nivel de su inserción en el epicóndilo (</w:t>
      </w:r>
      <w:hyperlink r:id="rId68">
        <w:r>
          <w:rPr>
            <w:rFonts w:eastAsia="Arial"/>
            <w:color w:val="000000"/>
            <w:szCs w:val="22"/>
          </w:rPr>
          <w:t>tenotomía</w:t>
        </w:r>
      </w:hyperlink>
      <w:r>
        <w:rPr>
          <w:rFonts w:eastAsia="Arial"/>
          <w:color w:val="000000"/>
          <w:szCs w:val="22"/>
        </w:rPr>
        <w:t xml:space="preserve">), </w:t>
      </w: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numPr>
          <w:ilvl w:val="1"/>
          <w:numId w:val="11"/>
        </w:numPr>
        <w:pBdr>
          <w:top w:val="nil"/>
          <w:left w:val="nil"/>
          <w:bottom w:val="nil"/>
          <w:right w:val="nil"/>
          <w:between w:val="nil"/>
        </w:pBdr>
        <w:spacing w:line="276" w:lineRule="auto"/>
        <w:jc w:val="both"/>
        <w:rPr>
          <w:rFonts w:eastAsia="Arial"/>
          <w:b/>
          <w:color w:val="000000"/>
          <w:szCs w:val="22"/>
        </w:rPr>
      </w:pPr>
      <w:r>
        <w:rPr>
          <w:rFonts w:eastAsia="Arial"/>
          <w:b/>
          <w:color w:val="000000"/>
          <w:szCs w:val="22"/>
        </w:rPr>
        <w:t xml:space="preserve">Registros. </w:t>
      </w:r>
    </w:p>
    <w:p w:rsidR="00153753" w:rsidRDefault="00153753">
      <w:pPr>
        <w:pBdr>
          <w:top w:val="nil"/>
          <w:left w:val="nil"/>
          <w:bottom w:val="nil"/>
          <w:right w:val="nil"/>
          <w:between w:val="nil"/>
        </w:pBdr>
        <w:spacing w:line="276" w:lineRule="auto"/>
        <w:ind w:left="1134"/>
        <w:jc w:val="both"/>
        <w:rPr>
          <w:rFonts w:eastAsia="Arial"/>
          <w:b/>
          <w:color w:val="000000"/>
          <w:szCs w:val="22"/>
        </w:rPr>
      </w:pPr>
    </w:p>
    <w:p w:rsidR="00153753" w:rsidRDefault="004C238A">
      <w:pPr>
        <w:numPr>
          <w:ilvl w:val="2"/>
          <w:numId w:val="6"/>
        </w:numPr>
        <w:pBdr>
          <w:top w:val="nil"/>
          <w:left w:val="nil"/>
          <w:bottom w:val="nil"/>
          <w:right w:val="nil"/>
          <w:between w:val="nil"/>
        </w:pBdr>
        <w:spacing w:line="276" w:lineRule="auto"/>
        <w:ind w:left="1134"/>
        <w:jc w:val="both"/>
        <w:rPr>
          <w:rFonts w:eastAsia="Arial"/>
          <w:color w:val="000000"/>
          <w:szCs w:val="22"/>
        </w:rPr>
      </w:pPr>
      <w:r>
        <w:rPr>
          <w:rFonts w:eastAsia="Arial"/>
          <w:color w:val="000000"/>
          <w:szCs w:val="22"/>
        </w:rPr>
        <w:t xml:space="preserve">Formato de historia clínica - </w:t>
      </w:r>
      <w:r>
        <w:t>Generado por el aplicativo para cada usuario.</w:t>
      </w:r>
    </w:p>
    <w:p w:rsidR="00153753" w:rsidRDefault="004C238A">
      <w:pPr>
        <w:numPr>
          <w:ilvl w:val="2"/>
          <w:numId w:val="6"/>
        </w:numPr>
        <w:pBdr>
          <w:top w:val="nil"/>
          <w:left w:val="nil"/>
          <w:bottom w:val="nil"/>
          <w:right w:val="nil"/>
          <w:between w:val="nil"/>
        </w:pBdr>
        <w:spacing w:line="276" w:lineRule="auto"/>
        <w:ind w:left="1134"/>
        <w:rPr>
          <w:rFonts w:eastAsia="Arial"/>
          <w:color w:val="000000"/>
          <w:szCs w:val="22"/>
        </w:rPr>
      </w:pPr>
      <w:r>
        <w:rPr>
          <w:rFonts w:eastAsia="Arial"/>
          <w:color w:val="000000"/>
          <w:szCs w:val="22"/>
        </w:rPr>
        <w:t>F-M-2210-08 Consentimiento informado</w:t>
      </w:r>
    </w:p>
    <w:p w:rsidR="00153753" w:rsidRDefault="00153753">
      <w:pPr>
        <w:spacing w:after="160" w:line="276" w:lineRule="auto"/>
        <w:jc w:val="both"/>
      </w:pPr>
    </w:p>
    <w:p w:rsidR="00153753" w:rsidRDefault="004C238A">
      <w:pPr>
        <w:numPr>
          <w:ilvl w:val="1"/>
          <w:numId w:val="11"/>
        </w:numPr>
        <w:pBdr>
          <w:top w:val="nil"/>
          <w:left w:val="nil"/>
          <w:bottom w:val="nil"/>
          <w:right w:val="nil"/>
          <w:between w:val="nil"/>
        </w:pBdr>
        <w:spacing w:line="276" w:lineRule="auto"/>
        <w:jc w:val="both"/>
        <w:rPr>
          <w:rFonts w:eastAsia="Arial"/>
          <w:b/>
          <w:color w:val="000000"/>
          <w:szCs w:val="22"/>
        </w:rPr>
      </w:pPr>
      <w:r>
        <w:rPr>
          <w:rFonts w:eastAsia="Arial"/>
          <w:b/>
          <w:color w:val="000000"/>
          <w:szCs w:val="22"/>
        </w:rPr>
        <w:t>Normativa.</w:t>
      </w:r>
    </w:p>
    <w:p w:rsidR="00153753" w:rsidRDefault="00153753">
      <w:pPr>
        <w:pBdr>
          <w:top w:val="nil"/>
          <w:left w:val="nil"/>
          <w:bottom w:val="nil"/>
          <w:right w:val="nil"/>
          <w:between w:val="nil"/>
        </w:pBdr>
        <w:spacing w:line="276" w:lineRule="auto"/>
        <w:ind w:left="1134" w:hanging="425"/>
        <w:jc w:val="both"/>
        <w:rPr>
          <w:rFonts w:eastAsia="Arial"/>
          <w:color w:val="000000"/>
          <w:szCs w:val="22"/>
        </w:rPr>
      </w:pPr>
    </w:p>
    <w:p w:rsidR="00153753" w:rsidRDefault="004C238A">
      <w:pPr>
        <w:numPr>
          <w:ilvl w:val="2"/>
          <w:numId w:val="7"/>
        </w:numPr>
        <w:pBdr>
          <w:top w:val="nil"/>
          <w:left w:val="nil"/>
          <w:bottom w:val="nil"/>
          <w:right w:val="nil"/>
          <w:between w:val="nil"/>
        </w:pBdr>
        <w:spacing w:line="276" w:lineRule="auto"/>
        <w:ind w:left="1134" w:hanging="425"/>
        <w:rPr>
          <w:rFonts w:eastAsia="Arial"/>
          <w:color w:val="000000"/>
          <w:szCs w:val="22"/>
        </w:rPr>
      </w:pPr>
      <w:r>
        <w:rPr>
          <w:rFonts w:eastAsia="Arial"/>
          <w:color w:val="000000"/>
          <w:szCs w:val="22"/>
        </w:rPr>
        <w:lastRenderedPageBreak/>
        <w:t>Resolución 1995 de 1996 del Ministerio de Salud y Protección Social: “Por la cual se establecen normas para el manejo de la Historia Clínica”</w:t>
      </w:r>
    </w:p>
    <w:p w:rsidR="00153753" w:rsidRDefault="00153753">
      <w:pPr>
        <w:pBdr>
          <w:top w:val="nil"/>
          <w:left w:val="nil"/>
          <w:bottom w:val="nil"/>
          <w:right w:val="nil"/>
          <w:between w:val="nil"/>
        </w:pBdr>
        <w:spacing w:line="276" w:lineRule="auto"/>
        <w:ind w:left="1134" w:hanging="425"/>
        <w:rPr>
          <w:rFonts w:eastAsia="Arial"/>
          <w:color w:val="000000"/>
          <w:szCs w:val="22"/>
        </w:rPr>
      </w:pPr>
    </w:p>
    <w:p w:rsidR="00153753" w:rsidRDefault="004C238A">
      <w:pPr>
        <w:numPr>
          <w:ilvl w:val="2"/>
          <w:numId w:val="7"/>
        </w:numPr>
        <w:pBdr>
          <w:top w:val="nil"/>
          <w:left w:val="nil"/>
          <w:bottom w:val="nil"/>
          <w:right w:val="nil"/>
          <w:between w:val="nil"/>
        </w:pBdr>
        <w:spacing w:line="276" w:lineRule="auto"/>
        <w:ind w:left="1134" w:hanging="425"/>
        <w:jc w:val="both"/>
        <w:rPr>
          <w:rFonts w:eastAsia="Arial"/>
          <w:color w:val="000000"/>
          <w:szCs w:val="22"/>
        </w:rPr>
      </w:pPr>
      <w:r>
        <w:rPr>
          <w:rFonts w:eastAsia="Arial"/>
          <w:color w:val="000000"/>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w:t>
      </w:r>
      <w:r>
        <w:rPr>
          <w:rFonts w:eastAsia="Arial"/>
          <w:color w:val="000000"/>
          <w:szCs w:val="22"/>
        </w:rPr>
        <w:t xml:space="preserve"> y Habilitación de Servicios de Salud”.</w:t>
      </w:r>
    </w:p>
    <w:p w:rsidR="00153753" w:rsidRDefault="00153753">
      <w:pPr>
        <w:pBdr>
          <w:top w:val="nil"/>
          <w:left w:val="nil"/>
          <w:bottom w:val="nil"/>
          <w:right w:val="nil"/>
          <w:between w:val="nil"/>
        </w:pBdr>
        <w:spacing w:line="276" w:lineRule="auto"/>
        <w:ind w:left="862"/>
        <w:jc w:val="both"/>
        <w:rPr>
          <w:rFonts w:eastAsia="Arial"/>
          <w:color w:val="000000"/>
          <w:szCs w:val="22"/>
        </w:rPr>
      </w:pPr>
    </w:p>
    <w:p w:rsidR="00153753" w:rsidRDefault="004C238A">
      <w:pPr>
        <w:pStyle w:val="Ttulo1"/>
        <w:numPr>
          <w:ilvl w:val="0"/>
          <w:numId w:val="11"/>
        </w:numPr>
        <w:ind w:hanging="360"/>
      </w:pPr>
      <w:bookmarkStart w:id="12" w:name="_heading=h.26in1rg" w:colFirst="0" w:colLast="0"/>
      <w:bookmarkEnd w:id="12"/>
      <w:r>
        <w:t xml:space="preserve">CERVICALGIA  </w:t>
      </w:r>
    </w:p>
    <w:p w:rsidR="00153753" w:rsidRDefault="004C238A">
      <w:pPr>
        <w:widowControl w:val="0"/>
        <w:numPr>
          <w:ilvl w:val="1"/>
          <w:numId w:val="11"/>
        </w:numPr>
        <w:pBdr>
          <w:top w:val="nil"/>
          <w:left w:val="nil"/>
          <w:bottom w:val="nil"/>
          <w:right w:val="nil"/>
          <w:between w:val="nil"/>
        </w:pBdr>
        <w:jc w:val="both"/>
        <w:rPr>
          <w:rFonts w:eastAsia="Arial"/>
          <w:color w:val="000000"/>
          <w:szCs w:val="22"/>
        </w:rPr>
      </w:pPr>
      <w:bookmarkStart w:id="13" w:name="_heading=h.lnxbz9" w:colFirst="0" w:colLast="0"/>
      <w:bookmarkEnd w:id="13"/>
      <w:r>
        <w:rPr>
          <w:rFonts w:eastAsia="Arial"/>
          <w:b/>
          <w:color w:val="000000"/>
          <w:szCs w:val="22"/>
        </w:rPr>
        <w:t>Objetivo.</w:t>
      </w:r>
      <w:r>
        <w:rPr>
          <w:rFonts w:eastAsia="Arial"/>
          <w:color w:val="000000"/>
          <w:szCs w:val="22"/>
        </w:rPr>
        <w:t xml:space="preserve"> Establecer los lineamientos para el tratamiento de los pacientes que padecen la enfermedad y que son beneficiarios del Programa de Salud del Grupo Centro Médico y Atención Integral de Salud del FBSCGR</w:t>
      </w:r>
      <w:r>
        <w:rPr>
          <w:rFonts w:eastAsia="Arial"/>
          <w:b/>
          <w:color w:val="000000"/>
          <w:szCs w:val="22"/>
        </w:rPr>
        <w:t xml:space="preserve"> </w:t>
      </w:r>
    </w:p>
    <w:p w:rsidR="00153753" w:rsidRDefault="00153753">
      <w:pPr>
        <w:widowControl w:val="0"/>
        <w:pBdr>
          <w:top w:val="nil"/>
          <w:left w:val="nil"/>
          <w:bottom w:val="nil"/>
          <w:right w:val="nil"/>
          <w:between w:val="nil"/>
        </w:pBdr>
        <w:ind w:left="1080"/>
        <w:jc w:val="both"/>
        <w:rPr>
          <w:rFonts w:eastAsia="Arial"/>
          <w:color w:val="000000"/>
          <w:szCs w:val="22"/>
        </w:rPr>
      </w:pPr>
    </w:p>
    <w:p w:rsidR="00153753" w:rsidRDefault="004C238A">
      <w:pPr>
        <w:widowControl w:val="0"/>
        <w:numPr>
          <w:ilvl w:val="1"/>
          <w:numId w:val="11"/>
        </w:numPr>
        <w:pBdr>
          <w:top w:val="nil"/>
          <w:left w:val="nil"/>
          <w:bottom w:val="nil"/>
          <w:right w:val="nil"/>
          <w:between w:val="nil"/>
        </w:pBdr>
        <w:jc w:val="both"/>
      </w:pPr>
      <w:r>
        <w:rPr>
          <w:rFonts w:eastAsia="Arial"/>
          <w:b/>
          <w:color w:val="000000"/>
          <w:szCs w:val="22"/>
        </w:rPr>
        <w:t>Alcance.</w:t>
      </w:r>
      <w:r>
        <w:rPr>
          <w:rFonts w:eastAsia="Arial"/>
          <w:color w:val="000000"/>
          <w:szCs w:val="22"/>
        </w:rPr>
        <w:t xml:space="preserve"> Este protocolo tiene aplicabilidad en el se</w:t>
      </w:r>
      <w:r>
        <w:rPr>
          <w:rFonts w:eastAsia="Arial"/>
          <w:color w:val="000000"/>
          <w:szCs w:val="22"/>
        </w:rPr>
        <w:t>rvicio de fisiatría de la sede del Grupo Centro Médico y Atención Integral en Salud del FBSCGR.</w:t>
      </w:r>
    </w:p>
    <w:p w:rsidR="00153753" w:rsidRDefault="00153753">
      <w:pPr>
        <w:pBdr>
          <w:top w:val="nil"/>
          <w:left w:val="nil"/>
          <w:bottom w:val="nil"/>
          <w:right w:val="nil"/>
          <w:between w:val="nil"/>
        </w:pBdr>
        <w:ind w:left="720"/>
        <w:rPr>
          <w:rFonts w:eastAsia="Arial"/>
          <w:b/>
          <w:color w:val="000000"/>
          <w:szCs w:val="22"/>
        </w:rPr>
      </w:pPr>
    </w:p>
    <w:p w:rsidR="00153753" w:rsidRDefault="004C238A">
      <w:pPr>
        <w:widowControl w:val="0"/>
        <w:numPr>
          <w:ilvl w:val="1"/>
          <w:numId w:val="11"/>
        </w:numPr>
        <w:pBdr>
          <w:top w:val="nil"/>
          <w:left w:val="nil"/>
          <w:bottom w:val="nil"/>
          <w:right w:val="nil"/>
          <w:between w:val="nil"/>
        </w:pBdr>
      </w:pPr>
      <w:bookmarkStart w:id="14" w:name="_heading=h.35nkun2" w:colFirst="0" w:colLast="0"/>
      <w:bookmarkEnd w:id="14"/>
      <w:r>
        <w:rPr>
          <w:rFonts w:eastAsia="Arial"/>
          <w:b/>
          <w:color w:val="000000"/>
          <w:szCs w:val="22"/>
        </w:rPr>
        <w:t xml:space="preserve">Responsable. </w:t>
      </w:r>
      <w:r>
        <w:rPr>
          <w:rFonts w:eastAsia="Arial"/>
          <w:color w:val="000000"/>
          <w:szCs w:val="22"/>
        </w:rPr>
        <w:t>Profesional Especializado Grado 21</w:t>
      </w:r>
    </w:p>
    <w:p w:rsidR="00153753" w:rsidRDefault="00153753">
      <w:pPr>
        <w:pBdr>
          <w:top w:val="nil"/>
          <w:left w:val="nil"/>
          <w:bottom w:val="nil"/>
          <w:right w:val="nil"/>
          <w:between w:val="nil"/>
        </w:pBdr>
        <w:ind w:left="720"/>
        <w:rPr>
          <w:rFonts w:eastAsia="Arial"/>
          <w:color w:val="000000"/>
          <w:szCs w:val="22"/>
        </w:rPr>
      </w:pPr>
    </w:p>
    <w:p w:rsidR="00153753" w:rsidRDefault="004C238A">
      <w:pPr>
        <w:widowControl w:val="0"/>
        <w:numPr>
          <w:ilvl w:val="1"/>
          <w:numId w:val="11"/>
        </w:numPr>
        <w:pBdr>
          <w:top w:val="nil"/>
          <w:left w:val="nil"/>
          <w:bottom w:val="nil"/>
          <w:right w:val="nil"/>
          <w:between w:val="nil"/>
        </w:pBdr>
        <w:rPr>
          <w:rFonts w:eastAsia="Arial"/>
          <w:b/>
          <w:color w:val="000000"/>
          <w:szCs w:val="22"/>
        </w:rPr>
      </w:pPr>
      <w:r>
        <w:rPr>
          <w:rFonts w:eastAsia="Arial"/>
          <w:b/>
          <w:color w:val="000000"/>
          <w:szCs w:val="22"/>
        </w:rPr>
        <w:t>Definiciones.</w:t>
      </w:r>
    </w:p>
    <w:p w:rsidR="00153753" w:rsidRDefault="00153753">
      <w:pPr>
        <w:widowControl w:val="0"/>
        <w:pBdr>
          <w:top w:val="nil"/>
          <w:left w:val="nil"/>
          <w:bottom w:val="nil"/>
          <w:right w:val="nil"/>
          <w:between w:val="nil"/>
        </w:pBdr>
        <w:rPr>
          <w:rFonts w:eastAsia="Arial"/>
          <w:b/>
          <w:color w:val="000000"/>
          <w:szCs w:val="22"/>
        </w:rPr>
      </w:pPr>
    </w:p>
    <w:p w:rsidR="00153753" w:rsidRDefault="004C238A">
      <w:pPr>
        <w:numPr>
          <w:ilvl w:val="2"/>
          <w:numId w:val="11"/>
        </w:numPr>
        <w:pBdr>
          <w:top w:val="nil"/>
          <w:left w:val="nil"/>
          <w:bottom w:val="nil"/>
          <w:right w:val="nil"/>
          <w:between w:val="nil"/>
        </w:pBdr>
        <w:jc w:val="both"/>
        <w:rPr>
          <w:rFonts w:eastAsia="Arial"/>
          <w:color w:val="000000"/>
          <w:szCs w:val="22"/>
        </w:rPr>
      </w:pPr>
      <w:r>
        <w:rPr>
          <w:rFonts w:eastAsia="Arial"/>
          <w:b/>
          <w:color w:val="000000"/>
          <w:szCs w:val="22"/>
        </w:rPr>
        <w:t xml:space="preserve">Estrés: </w:t>
      </w:r>
      <w:r>
        <w:rPr>
          <w:rFonts w:eastAsia="Arial"/>
          <w:color w:val="000000"/>
          <w:szCs w:val="22"/>
        </w:rPr>
        <w:t>Estado de cansancio mental provocado por la exigencia de un rendimiento muy superior al normal; suele provocar diversos trastornos físicos y mentales.</w:t>
      </w:r>
    </w:p>
    <w:p w:rsidR="00153753" w:rsidRDefault="004C238A">
      <w:pPr>
        <w:numPr>
          <w:ilvl w:val="2"/>
          <w:numId w:val="11"/>
        </w:numPr>
        <w:pBdr>
          <w:top w:val="nil"/>
          <w:left w:val="nil"/>
          <w:bottom w:val="nil"/>
          <w:right w:val="nil"/>
          <w:between w:val="nil"/>
        </w:pBdr>
        <w:jc w:val="both"/>
        <w:rPr>
          <w:rFonts w:eastAsia="Arial"/>
          <w:color w:val="000000"/>
          <w:szCs w:val="22"/>
        </w:rPr>
      </w:pPr>
      <w:r>
        <w:rPr>
          <w:rFonts w:eastAsia="Arial"/>
          <w:b/>
          <w:color w:val="000000"/>
          <w:szCs w:val="22"/>
        </w:rPr>
        <w:t>Patología</w:t>
      </w:r>
      <w:r>
        <w:rPr>
          <w:rFonts w:eastAsia="Arial"/>
          <w:color w:val="000000"/>
          <w:szCs w:val="22"/>
        </w:rPr>
        <w:t>: Enfermedad física o mental que padece una persona</w:t>
      </w:r>
    </w:p>
    <w:p w:rsidR="00153753" w:rsidRDefault="00153753">
      <w:pPr>
        <w:jc w:val="both"/>
      </w:pPr>
    </w:p>
    <w:p w:rsidR="00153753" w:rsidRDefault="00153753">
      <w:pPr>
        <w:pBdr>
          <w:top w:val="nil"/>
          <w:left w:val="nil"/>
          <w:bottom w:val="nil"/>
          <w:right w:val="nil"/>
          <w:between w:val="nil"/>
        </w:pBdr>
        <w:ind w:left="720"/>
        <w:rPr>
          <w:rFonts w:eastAsia="Arial"/>
          <w:color w:val="000000"/>
          <w:szCs w:val="22"/>
        </w:rPr>
      </w:pPr>
    </w:p>
    <w:p w:rsidR="00153753" w:rsidRDefault="004C238A">
      <w:pPr>
        <w:pStyle w:val="Ttulo2"/>
        <w:numPr>
          <w:ilvl w:val="1"/>
          <w:numId w:val="11"/>
        </w:numPr>
      </w:pPr>
      <w:bookmarkStart w:id="15" w:name="_heading=h.1ksv4uv" w:colFirst="0" w:colLast="0"/>
      <w:bookmarkEnd w:id="15"/>
      <w:r>
        <w:t>Desarrollo</w:t>
      </w:r>
    </w:p>
    <w:p w:rsidR="00153753" w:rsidRDefault="00153753"/>
    <w:p w:rsidR="00153753" w:rsidRDefault="004C238A">
      <w:pPr>
        <w:numPr>
          <w:ilvl w:val="2"/>
          <w:numId w:val="11"/>
        </w:numPr>
        <w:pBdr>
          <w:top w:val="nil"/>
          <w:left w:val="nil"/>
          <w:bottom w:val="nil"/>
          <w:right w:val="nil"/>
          <w:between w:val="nil"/>
        </w:pBdr>
        <w:ind w:left="862"/>
        <w:jc w:val="both"/>
        <w:rPr>
          <w:rFonts w:eastAsia="Arial"/>
          <w:color w:val="000000"/>
          <w:szCs w:val="22"/>
        </w:rPr>
      </w:pPr>
      <w:r>
        <w:rPr>
          <w:rFonts w:eastAsia="Arial"/>
          <w:b/>
          <w:color w:val="000000"/>
          <w:szCs w:val="22"/>
        </w:rPr>
        <w:t>Conceptualización</w:t>
      </w:r>
    </w:p>
    <w:p w:rsidR="00153753" w:rsidRDefault="00153753">
      <w:pPr>
        <w:keepNext/>
        <w:keepLines/>
        <w:pBdr>
          <w:top w:val="nil"/>
          <w:left w:val="nil"/>
          <w:bottom w:val="nil"/>
          <w:right w:val="nil"/>
          <w:between w:val="nil"/>
        </w:pBdr>
        <w:spacing w:before="40"/>
        <w:ind w:left="720"/>
        <w:rPr>
          <w:b/>
        </w:rPr>
      </w:pP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Se define a la cervicalgia como el dolor a nivel de la zona posterior del cuello o nuca.</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La mayoría de las veces está asociado a cansancio muscular, malas posturas o situaciones de estrés laboral.</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 xml:space="preserve">En algunas ocasiones puede deberse a patología ósea de las </w:t>
      </w:r>
      <w:r>
        <w:rPr>
          <w:rFonts w:eastAsia="Arial"/>
          <w:color w:val="000000"/>
          <w:szCs w:val="22"/>
        </w:rPr>
        <w:t>vértebras cervicales, problemas de los discos intervertebrales o compromiso neurológico de la médula espinal o de las raíces que forman los nervios, en estos casos el compromiso es más grave y puede requerir manejo más agresivo.</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El diagnostico se basa en l</w:t>
      </w:r>
      <w:r>
        <w:rPr>
          <w:rFonts w:eastAsia="Arial"/>
          <w:color w:val="000000"/>
          <w:szCs w:val="22"/>
        </w:rPr>
        <w:t>os síntomas referidos por el paciente, (dolor de cuello) y en la elaboración de una historia clínica, teniendo en cuenta factores individuales como edad, sexo, condición laboral, patologías previas entre otros.</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lastRenderedPageBreak/>
        <w:t>El médico tratante evalúa los signos y síntom</w:t>
      </w:r>
      <w:r>
        <w:rPr>
          <w:rFonts w:eastAsia="Arial"/>
          <w:color w:val="000000"/>
          <w:szCs w:val="22"/>
        </w:rPr>
        <w:t>as del paciente, observando si hay masas, deformidades, dolor con las movilizaciones, restricción a los movimientos, problemas neurológicos como debilidad y hormigueo entre otros signos.</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 xml:space="preserve">Dependiendo de cada caso el médico tratante solicita estudios imagenológicos: Con radiografías simples se pueden ver las vértebras cervicales y realizar un diagnóstico, que a menudo permite determinar la causa de dolor cervical y prescribir un tratamiento </w:t>
      </w:r>
      <w:r>
        <w:rPr>
          <w:rFonts w:eastAsia="Arial"/>
          <w:color w:val="000000"/>
          <w:szCs w:val="22"/>
        </w:rPr>
        <w:t>adecuado.</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Si el cuadro clínico requiere una valoración más detallada, se pueden necesitar una o varias de las siguientes exploraciones: TAC, RMN, neuroconducciones y electromiografía: estudio de la conducción nerviosa mediante electrodos y estudio de la ac</w:t>
      </w:r>
      <w:r>
        <w:rPr>
          <w:rFonts w:eastAsia="Arial"/>
          <w:color w:val="000000"/>
          <w:szCs w:val="22"/>
        </w:rPr>
        <w:t xml:space="preserve">tividad muscular mediante agujas muy finas, que captan los potenciales nerviosos y los transmiten a una pantalla. </w:t>
      </w: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pBdr>
          <w:top w:val="nil"/>
          <w:left w:val="nil"/>
          <w:bottom w:val="nil"/>
          <w:right w:val="nil"/>
          <w:between w:val="nil"/>
        </w:pBdr>
        <w:spacing w:line="276" w:lineRule="auto"/>
        <w:ind w:left="720"/>
        <w:jc w:val="both"/>
        <w:rPr>
          <w:rFonts w:eastAsia="Arial"/>
          <w:b/>
          <w:color w:val="000000"/>
          <w:szCs w:val="22"/>
        </w:rPr>
      </w:pPr>
      <w:r>
        <w:rPr>
          <w:rFonts w:eastAsia="Arial"/>
          <w:b/>
          <w:color w:val="000000"/>
          <w:szCs w:val="22"/>
        </w:rPr>
        <w:t>Tratamiento:</w:t>
      </w: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 xml:space="preserve">La mayoría de las veces el dolor se debe a malos hábitos, espasmo muscular, mala postura, cambios degenerativos por la edad, </w:t>
      </w:r>
      <w:r>
        <w:rPr>
          <w:rFonts w:eastAsia="Arial"/>
          <w:color w:val="000000"/>
          <w:szCs w:val="22"/>
        </w:rPr>
        <w:t>(artrosis) situaciones de estrés; en ese caso el manejo consiste en higiene postural, terapia física, estiramientos, medios físicos, tracciones, analgésicos, relajantes musculares. En algunos casos las infiltraciones en puntos dolorosos son de gran ayuda p</w:t>
      </w:r>
      <w:r>
        <w:rPr>
          <w:rFonts w:eastAsia="Arial"/>
          <w:color w:val="000000"/>
          <w:szCs w:val="22"/>
        </w:rPr>
        <w:t>ara aliviar los síntomas.</w:t>
      </w: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 xml:space="preserve">Si el dolor se aumenta por la actividad laboral se recomienda una revisión del puesto de trabajo, revisar medidas ergonómicas como altura del monitor con respecto a la silla, posición de las manos y del cuello al laborar, tipo de </w:t>
      </w:r>
      <w:r>
        <w:rPr>
          <w:rFonts w:eastAsia="Arial"/>
          <w:color w:val="000000"/>
          <w:szCs w:val="22"/>
        </w:rPr>
        <w:t>silla, horario laboral, entre otras. Se recomienda evitar posturas viciosas y realizar pausas activas con frecuencia.</w:t>
      </w: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pBdr>
          <w:top w:val="nil"/>
          <w:left w:val="nil"/>
          <w:bottom w:val="nil"/>
          <w:right w:val="nil"/>
          <w:between w:val="nil"/>
        </w:pBdr>
        <w:spacing w:line="276" w:lineRule="auto"/>
        <w:ind w:left="720"/>
        <w:jc w:val="both"/>
        <w:rPr>
          <w:rFonts w:eastAsia="Arial"/>
          <w:color w:val="000000"/>
          <w:szCs w:val="22"/>
        </w:rPr>
      </w:pPr>
      <w:r>
        <w:rPr>
          <w:rFonts w:eastAsia="Arial"/>
          <w:color w:val="000000"/>
          <w:szCs w:val="22"/>
        </w:rPr>
        <w:t xml:space="preserve">Si existe una patología de base grave como hernias discales, patología medular, compresiones, fracturas, desplazamientos, tumores u otra </w:t>
      </w:r>
      <w:r>
        <w:rPr>
          <w:rFonts w:eastAsia="Arial"/>
          <w:color w:val="000000"/>
          <w:szCs w:val="22"/>
        </w:rPr>
        <w:t>condición puede requerirse manejo quirúrgico por neurocirugía o por ortopedia de columna.</w:t>
      </w:r>
    </w:p>
    <w:p w:rsidR="00153753" w:rsidRDefault="00153753">
      <w:pPr>
        <w:pBdr>
          <w:top w:val="nil"/>
          <w:left w:val="nil"/>
          <w:bottom w:val="nil"/>
          <w:right w:val="nil"/>
          <w:between w:val="nil"/>
        </w:pBdr>
        <w:spacing w:line="276" w:lineRule="auto"/>
        <w:ind w:left="720"/>
        <w:jc w:val="both"/>
        <w:rPr>
          <w:rFonts w:eastAsia="Arial"/>
          <w:color w:val="000000"/>
          <w:szCs w:val="22"/>
        </w:rPr>
      </w:pPr>
    </w:p>
    <w:p w:rsidR="00153753" w:rsidRDefault="004C238A">
      <w:pPr>
        <w:numPr>
          <w:ilvl w:val="1"/>
          <w:numId w:val="11"/>
        </w:numPr>
        <w:pBdr>
          <w:top w:val="nil"/>
          <w:left w:val="nil"/>
          <w:bottom w:val="nil"/>
          <w:right w:val="nil"/>
          <w:between w:val="nil"/>
        </w:pBdr>
        <w:spacing w:line="276" w:lineRule="auto"/>
        <w:jc w:val="both"/>
        <w:rPr>
          <w:rFonts w:eastAsia="Arial"/>
          <w:b/>
          <w:color w:val="000000"/>
          <w:szCs w:val="22"/>
        </w:rPr>
      </w:pPr>
      <w:r>
        <w:rPr>
          <w:rFonts w:eastAsia="Arial"/>
          <w:b/>
          <w:color w:val="000000"/>
          <w:szCs w:val="22"/>
        </w:rPr>
        <w:t xml:space="preserve">Registros. </w:t>
      </w:r>
    </w:p>
    <w:p w:rsidR="00153753" w:rsidRDefault="00153753">
      <w:pPr>
        <w:pBdr>
          <w:top w:val="nil"/>
          <w:left w:val="nil"/>
          <w:bottom w:val="nil"/>
          <w:right w:val="nil"/>
          <w:between w:val="nil"/>
        </w:pBdr>
        <w:spacing w:line="276" w:lineRule="auto"/>
        <w:ind w:left="1080"/>
        <w:jc w:val="both"/>
        <w:rPr>
          <w:rFonts w:eastAsia="Arial"/>
          <w:b/>
          <w:color w:val="000000"/>
          <w:szCs w:val="22"/>
        </w:rPr>
      </w:pPr>
    </w:p>
    <w:p w:rsidR="00153753" w:rsidRDefault="004C238A">
      <w:pPr>
        <w:numPr>
          <w:ilvl w:val="2"/>
          <w:numId w:val="8"/>
        </w:numPr>
        <w:pBdr>
          <w:top w:val="nil"/>
          <w:left w:val="nil"/>
          <w:bottom w:val="nil"/>
          <w:right w:val="nil"/>
          <w:between w:val="nil"/>
        </w:pBdr>
        <w:spacing w:line="276" w:lineRule="auto"/>
        <w:ind w:left="1276" w:hanging="283"/>
        <w:jc w:val="both"/>
        <w:rPr>
          <w:rFonts w:eastAsia="Arial"/>
          <w:color w:val="000000"/>
          <w:szCs w:val="22"/>
        </w:rPr>
      </w:pPr>
      <w:r>
        <w:rPr>
          <w:rFonts w:eastAsia="Arial"/>
          <w:color w:val="000000"/>
          <w:szCs w:val="22"/>
        </w:rPr>
        <w:t xml:space="preserve">Formato de historia clínica - </w:t>
      </w:r>
      <w:r>
        <w:t>Generado por el aplicativo para cada usuario.</w:t>
      </w:r>
    </w:p>
    <w:p w:rsidR="00153753" w:rsidRDefault="004C238A">
      <w:pPr>
        <w:numPr>
          <w:ilvl w:val="2"/>
          <w:numId w:val="8"/>
        </w:numPr>
        <w:pBdr>
          <w:top w:val="nil"/>
          <w:left w:val="nil"/>
          <w:bottom w:val="nil"/>
          <w:right w:val="nil"/>
          <w:between w:val="nil"/>
        </w:pBdr>
        <w:spacing w:line="276" w:lineRule="auto"/>
        <w:ind w:left="1276" w:hanging="283"/>
        <w:rPr>
          <w:rFonts w:eastAsia="Arial"/>
          <w:color w:val="000000"/>
          <w:szCs w:val="22"/>
        </w:rPr>
      </w:pPr>
      <w:r>
        <w:rPr>
          <w:rFonts w:eastAsia="Arial"/>
          <w:color w:val="000000"/>
          <w:szCs w:val="22"/>
        </w:rPr>
        <w:t>F-M-2210-08 Consentimiento informado</w:t>
      </w:r>
    </w:p>
    <w:p w:rsidR="00153753" w:rsidRDefault="00153753">
      <w:pPr>
        <w:spacing w:after="160" w:line="276" w:lineRule="auto"/>
        <w:jc w:val="both"/>
      </w:pPr>
    </w:p>
    <w:p w:rsidR="00153753" w:rsidRDefault="004C238A">
      <w:pPr>
        <w:numPr>
          <w:ilvl w:val="1"/>
          <w:numId w:val="11"/>
        </w:numPr>
        <w:pBdr>
          <w:top w:val="nil"/>
          <w:left w:val="nil"/>
          <w:bottom w:val="nil"/>
          <w:right w:val="nil"/>
          <w:between w:val="nil"/>
        </w:pBdr>
        <w:spacing w:line="276" w:lineRule="auto"/>
        <w:jc w:val="both"/>
        <w:rPr>
          <w:rFonts w:eastAsia="Arial"/>
          <w:b/>
          <w:color w:val="000000"/>
          <w:szCs w:val="22"/>
        </w:rPr>
      </w:pPr>
      <w:r>
        <w:rPr>
          <w:rFonts w:eastAsia="Arial"/>
          <w:b/>
          <w:color w:val="000000"/>
          <w:szCs w:val="22"/>
        </w:rPr>
        <w:t>Normativa</w:t>
      </w:r>
    </w:p>
    <w:p w:rsidR="00153753" w:rsidRDefault="00153753">
      <w:pPr>
        <w:pBdr>
          <w:top w:val="nil"/>
          <w:left w:val="nil"/>
          <w:bottom w:val="nil"/>
          <w:right w:val="nil"/>
          <w:between w:val="nil"/>
        </w:pBdr>
        <w:spacing w:line="276" w:lineRule="auto"/>
        <w:ind w:left="1080"/>
        <w:jc w:val="both"/>
        <w:rPr>
          <w:rFonts w:eastAsia="Arial"/>
          <w:b/>
          <w:color w:val="000000"/>
          <w:szCs w:val="22"/>
        </w:rPr>
      </w:pPr>
    </w:p>
    <w:p w:rsidR="00153753" w:rsidRDefault="004C238A">
      <w:pPr>
        <w:numPr>
          <w:ilvl w:val="2"/>
          <w:numId w:val="9"/>
        </w:numPr>
        <w:pBdr>
          <w:top w:val="nil"/>
          <w:left w:val="nil"/>
          <w:bottom w:val="nil"/>
          <w:right w:val="nil"/>
          <w:between w:val="nil"/>
        </w:pBdr>
        <w:spacing w:line="276" w:lineRule="auto"/>
        <w:ind w:hanging="87"/>
        <w:rPr>
          <w:rFonts w:eastAsia="Arial"/>
          <w:color w:val="000000"/>
          <w:szCs w:val="22"/>
        </w:rPr>
      </w:pPr>
      <w:r>
        <w:rPr>
          <w:rFonts w:eastAsia="Arial"/>
          <w:color w:val="000000"/>
          <w:szCs w:val="22"/>
        </w:rPr>
        <w:lastRenderedPageBreak/>
        <w:t>Resolución 1995 de 1996 del Ministerio de Salud y Protección Social: “Por la cual se establecen normas para el manejo de la Historia Clínica”</w:t>
      </w:r>
    </w:p>
    <w:p w:rsidR="00153753" w:rsidRDefault="00153753">
      <w:pPr>
        <w:pBdr>
          <w:top w:val="nil"/>
          <w:left w:val="nil"/>
          <w:bottom w:val="nil"/>
          <w:right w:val="nil"/>
          <w:between w:val="nil"/>
        </w:pBdr>
        <w:spacing w:line="276" w:lineRule="auto"/>
        <w:ind w:left="1080" w:hanging="87"/>
        <w:rPr>
          <w:rFonts w:eastAsia="Arial"/>
          <w:color w:val="000000"/>
          <w:szCs w:val="22"/>
        </w:rPr>
      </w:pPr>
    </w:p>
    <w:p w:rsidR="00153753" w:rsidRDefault="004C238A">
      <w:pPr>
        <w:numPr>
          <w:ilvl w:val="2"/>
          <w:numId w:val="9"/>
        </w:numPr>
        <w:pBdr>
          <w:top w:val="nil"/>
          <w:left w:val="nil"/>
          <w:bottom w:val="nil"/>
          <w:right w:val="nil"/>
          <w:between w:val="nil"/>
        </w:pBdr>
        <w:spacing w:line="276" w:lineRule="auto"/>
        <w:ind w:hanging="87"/>
        <w:jc w:val="both"/>
        <w:rPr>
          <w:rFonts w:eastAsia="Arial"/>
          <w:color w:val="000000"/>
          <w:szCs w:val="22"/>
        </w:rPr>
      </w:pPr>
      <w:r>
        <w:rPr>
          <w:rFonts w:eastAsia="Arial"/>
          <w:color w:val="000000"/>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w:t>
      </w:r>
      <w:r>
        <w:rPr>
          <w:rFonts w:eastAsia="Arial"/>
          <w:color w:val="000000"/>
          <w:szCs w:val="22"/>
        </w:rPr>
        <w:t xml:space="preserve"> y Habilitación de Servicios de Salud”.</w:t>
      </w:r>
    </w:p>
    <w:p w:rsidR="00153753" w:rsidRDefault="00153753">
      <w:pPr>
        <w:pBdr>
          <w:top w:val="nil"/>
          <w:left w:val="nil"/>
          <w:bottom w:val="nil"/>
          <w:right w:val="nil"/>
          <w:between w:val="nil"/>
        </w:pBdr>
        <w:ind w:left="1080" w:hanging="87"/>
        <w:rPr>
          <w:rFonts w:eastAsia="Arial"/>
          <w:color w:val="000000"/>
          <w:szCs w:val="22"/>
        </w:rPr>
      </w:pPr>
      <w:bookmarkStart w:id="16" w:name="_GoBack"/>
      <w:bookmarkEnd w:id="16"/>
    </w:p>
    <w:sectPr w:rsidR="00153753">
      <w:headerReference w:type="default" r:id="rId69"/>
      <w:footerReference w:type="default" r:id="rId70"/>
      <w:pgSz w:w="12240" w:h="15840"/>
      <w:pgMar w:top="1417" w:right="1701" w:bottom="1417" w:left="1701" w:header="907"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238A" w:rsidRDefault="004C238A">
      <w:r>
        <w:separator/>
      </w:r>
    </w:p>
  </w:endnote>
  <w:endnote w:type="continuationSeparator" w:id="0">
    <w:p w:rsidR="004C238A" w:rsidRDefault="004C2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3753" w:rsidRDefault="00153753">
    <w:pPr>
      <w:widowControl w:val="0"/>
      <w:pBdr>
        <w:top w:val="nil"/>
        <w:left w:val="nil"/>
        <w:bottom w:val="nil"/>
        <w:right w:val="nil"/>
        <w:between w:val="nil"/>
      </w:pBdr>
      <w:spacing w:line="276" w:lineRule="auto"/>
      <w:rPr>
        <w:rFonts w:eastAsia="Arial"/>
        <w:color w:val="000000"/>
        <w:szCs w:val="22"/>
      </w:rPr>
    </w:pPr>
  </w:p>
  <w:tbl>
    <w:tblPr>
      <w:tblStyle w:val="a0"/>
      <w:tblW w:w="8931"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3828"/>
      <w:gridCol w:w="2135"/>
      <w:gridCol w:w="2968"/>
    </w:tblGrid>
    <w:tr w:rsidR="00153753">
      <w:trPr>
        <w:trHeight w:val="296"/>
      </w:trPr>
      <w:tc>
        <w:tcPr>
          <w:tcW w:w="3828" w:type="dxa"/>
          <w:shd w:val="clear" w:color="auto" w:fill="8EAADB"/>
        </w:tcPr>
        <w:p w:rsidR="00153753" w:rsidRDefault="004C238A">
          <w:pPr>
            <w:rPr>
              <w:b/>
              <w:sz w:val="16"/>
              <w:szCs w:val="16"/>
            </w:rPr>
          </w:pPr>
          <w:r>
            <w:rPr>
              <w:b/>
              <w:sz w:val="16"/>
              <w:szCs w:val="16"/>
            </w:rPr>
            <w:t>Elaboró:</w:t>
          </w:r>
        </w:p>
      </w:tc>
      <w:tc>
        <w:tcPr>
          <w:tcW w:w="2135" w:type="dxa"/>
          <w:shd w:val="clear" w:color="auto" w:fill="8EAADB"/>
        </w:tcPr>
        <w:p w:rsidR="00153753" w:rsidRDefault="004C238A">
          <w:pPr>
            <w:rPr>
              <w:b/>
              <w:sz w:val="16"/>
              <w:szCs w:val="16"/>
            </w:rPr>
          </w:pPr>
          <w:r>
            <w:rPr>
              <w:b/>
              <w:sz w:val="16"/>
              <w:szCs w:val="16"/>
            </w:rPr>
            <w:t xml:space="preserve">Revisó: </w:t>
          </w:r>
        </w:p>
      </w:tc>
      <w:tc>
        <w:tcPr>
          <w:tcW w:w="2968" w:type="dxa"/>
          <w:shd w:val="clear" w:color="auto" w:fill="8EAADB"/>
        </w:tcPr>
        <w:p w:rsidR="00153753" w:rsidRDefault="004C238A">
          <w:pPr>
            <w:rPr>
              <w:sz w:val="16"/>
              <w:szCs w:val="16"/>
            </w:rPr>
          </w:pPr>
          <w:r>
            <w:rPr>
              <w:b/>
              <w:sz w:val="16"/>
              <w:szCs w:val="16"/>
            </w:rPr>
            <w:t>Aprobó:</w:t>
          </w:r>
          <w:r>
            <w:rPr>
              <w:sz w:val="16"/>
              <w:szCs w:val="16"/>
            </w:rPr>
            <w:t xml:space="preserve"> Comité SICME</w:t>
          </w:r>
        </w:p>
      </w:tc>
    </w:tr>
    <w:tr w:rsidR="00153753" w:rsidTr="008D05DF">
      <w:trPr>
        <w:trHeight w:val="296"/>
      </w:trPr>
      <w:tc>
        <w:tcPr>
          <w:tcW w:w="3828" w:type="dxa"/>
          <w:shd w:val="clear" w:color="auto" w:fill="auto"/>
        </w:tcPr>
        <w:p w:rsidR="00153753" w:rsidRDefault="004C238A" w:rsidP="008D05DF">
          <w:pPr>
            <w:jc w:val="left"/>
            <w:rPr>
              <w:sz w:val="16"/>
              <w:szCs w:val="16"/>
            </w:rPr>
          </w:pPr>
          <w:r>
            <w:rPr>
              <w:sz w:val="16"/>
              <w:szCs w:val="16"/>
            </w:rPr>
            <w:t>Dirección de Desarrollo y Bienestar Social – Grupo Centro Médico y Atención Integral en Salud</w:t>
          </w:r>
        </w:p>
      </w:tc>
      <w:tc>
        <w:tcPr>
          <w:tcW w:w="2135" w:type="dxa"/>
          <w:shd w:val="clear" w:color="auto" w:fill="auto"/>
        </w:tcPr>
        <w:p w:rsidR="00153753" w:rsidRDefault="004C238A">
          <w:pPr>
            <w:rPr>
              <w:sz w:val="16"/>
              <w:szCs w:val="16"/>
            </w:rPr>
          </w:pPr>
          <w:r>
            <w:rPr>
              <w:color w:val="000000"/>
              <w:sz w:val="16"/>
              <w:szCs w:val="16"/>
            </w:rPr>
            <w:t>Oficina de Planeación</w:t>
          </w:r>
        </w:p>
      </w:tc>
      <w:tc>
        <w:tcPr>
          <w:tcW w:w="2968" w:type="dxa"/>
          <w:shd w:val="clear" w:color="auto" w:fill="auto"/>
        </w:tcPr>
        <w:p w:rsidR="00153753" w:rsidRDefault="004C238A" w:rsidP="008D05DF">
          <w:pPr>
            <w:rPr>
              <w:sz w:val="16"/>
              <w:szCs w:val="16"/>
            </w:rPr>
          </w:pPr>
          <w:r>
            <w:rPr>
              <w:sz w:val="16"/>
              <w:szCs w:val="16"/>
            </w:rPr>
            <w:t xml:space="preserve">Fecha: </w:t>
          </w:r>
          <w:r w:rsidR="008D05DF">
            <w:rPr>
              <w:sz w:val="16"/>
              <w:szCs w:val="16"/>
            </w:rPr>
            <w:t xml:space="preserve">30 de agosto </w:t>
          </w:r>
          <w:r>
            <w:rPr>
              <w:sz w:val="16"/>
              <w:szCs w:val="16"/>
            </w:rPr>
            <w:t>de 2023</w:t>
          </w:r>
        </w:p>
      </w:tc>
    </w:tr>
  </w:tbl>
  <w:p w:rsidR="00153753" w:rsidRDefault="00153753">
    <w:pPr>
      <w:pBdr>
        <w:top w:val="nil"/>
        <w:left w:val="nil"/>
        <w:bottom w:val="nil"/>
        <w:right w:val="nil"/>
        <w:between w:val="nil"/>
      </w:pBdr>
      <w:tabs>
        <w:tab w:val="center" w:pos="4419"/>
        <w:tab w:val="right" w:pos="8838"/>
      </w:tabs>
      <w:rPr>
        <w:rFonts w:eastAsia="Arial"/>
        <w:color w:val="000000"/>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238A" w:rsidRDefault="004C238A">
      <w:r>
        <w:separator/>
      </w:r>
    </w:p>
  </w:footnote>
  <w:footnote w:type="continuationSeparator" w:id="0">
    <w:p w:rsidR="004C238A" w:rsidRDefault="004C23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a"/>
      <w:tblW w:w="8818" w:type="dxa"/>
      <w:tblInd w:w="108"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2586"/>
      <w:gridCol w:w="3822"/>
      <w:gridCol w:w="992"/>
      <w:gridCol w:w="1418"/>
    </w:tblGrid>
    <w:tr w:rsidR="00153753" w:rsidTr="008D05DF">
      <w:trPr>
        <w:trHeight w:val="354"/>
      </w:trPr>
      <w:tc>
        <w:tcPr>
          <w:tcW w:w="2586" w:type="dxa"/>
          <w:vMerge w:val="restart"/>
          <w:vAlign w:val="center"/>
        </w:tcPr>
        <w:p w:rsidR="00153753" w:rsidRDefault="004C238A">
          <w:pPr>
            <w:tabs>
              <w:tab w:val="center" w:pos="4419"/>
              <w:tab w:val="right" w:pos="8838"/>
            </w:tabs>
          </w:pPr>
          <w:r>
            <w:rPr>
              <w:noProof/>
            </w:rPr>
            <w:drawing>
              <wp:inline distT="0" distB="0" distL="0" distR="0">
                <wp:extent cx="1518275" cy="355891"/>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18275" cy="355891"/>
                        </a:xfrm>
                        <a:prstGeom prst="rect">
                          <a:avLst/>
                        </a:prstGeom>
                        <a:ln/>
                      </pic:spPr>
                    </pic:pic>
                  </a:graphicData>
                </a:graphic>
              </wp:inline>
            </w:drawing>
          </w:r>
        </w:p>
      </w:tc>
      <w:tc>
        <w:tcPr>
          <w:tcW w:w="3822" w:type="dxa"/>
          <w:vMerge w:val="restart"/>
          <w:shd w:val="clear" w:color="auto" w:fill="auto"/>
          <w:vAlign w:val="center"/>
        </w:tcPr>
        <w:p w:rsidR="00153753" w:rsidRDefault="004C238A">
          <w:pPr>
            <w:tabs>
              <w:tab w:val="center" w:pos="4419"/>
              <w:tab w:val="right" w:pos="8838"/>
            </w:tabs>
            <w:jc w:val="center"/>
            <w:rPr>
              <w:color w:val="000000"/>
              <w:sz w:val="16"/>
              <w:szCs w:val="16"/>
            </w:rPr>
          </w:pPr>
          <w:r>
            <w:rPr>
              <w:color w:val="000000"/>
              <w:sz w:val="16"/>
              <w:szCs w:val="16"/>
            </w:rPr>
            <w:t>Proceso Atención Médica</w:t>
          </w:r>
        </w:p>
        <w:p w:rsidR="00153753" w:rsidRDefault="004C238A">
          <w:pPr>
            <w:tabs>
              <w:tab w:val="center" w:pos="4419"/>
              <w:tab w:val="right" w:pos="8838"/>
            </w:tabs>
            <w:jc w:val="center"/>
            <w:rPr>
              <w:color w:val="000000"/>
              <w:sz w:val="16"/>
              <w:szCs w:val="16"/>
            </w:rPr>
          </w:pPr>
          <w:r>
            <w:rPr>
              <w:color w:val="000000"/>
              <w:sz w:val="16"/>
              <w:szCs w:val="16"/>
            </w:rPr>
            <w:t>Protocolo Servicio de Fisiatría</w:t>
          </w:r>
        </w:p>
      </w:tc>
      <w:tc>
        <w:tcPr>
          <w:tcW w:w="992" w:type="dxa"/>
          <w:shd w:val="clear" w:color="auto" w:fill="8EAADB"/>
          <w:vAlign w:val="center"/>
        </w:tcPr>
        <w:p w:rsidR="00153753" w:rsidRDefault="004C238A">
          <w:pPr>
            <w:tabs>
              <w:tab w:val="center" w:pos="4419"/>
              <w:tab w:val="right" w:pos="8838"/>
            </w:tabs>
            <w:rPr>
              <w:color w:val="000000"/>
              <w:sz w:val="16"/>
              <w:szCs w:val="16"/>
            </w:rPr>
          </w:pPr>
          <w:r>
            <w:rPr>
              <w:b/>
              <w:color w:val="000000"/>
              <w:sz w:val="16"/>
              <w:szCs w:val="16"/>
            </w:rPr>
            <w:t xml:space="preserve">Código: </w:t>
          </w:r>
        </w:p>
      </w:tc>
      <w:tc>
        <w:tcPr>
          <w:tcW w:w="1418" w:type="dxa"/>
          <w:shd w:val="clear" w:color="auto" w:fill="auto"/>
          <w:vAlign w:val="center"/>
        </w:tcPr>
        <w:p w:rsidR="00153753" w:rsidRDefault="004C238A" w:rsidP="008D05DF">
          <w:pPr>
            <w:tabs>
              <w:tab w:val="center" w:pos="4419"/>
              <w:tab w:val="right" w:pos="8838"/>
            </w:tabs>
            <w:rPr>
              <w:color w:val="000000"/>
              <w:sz w:val="16"/>
              <w:szCs w:val="16"/>
            </w:rPr>
          </w:pPr>
          <w:r>
            <w:rPr>
              <w:color w:val="000000"/>
              <w:sz w:val="16"/>
              <w:szCs w:val="16"/>
            </w:rPr>
            <w:t>PR-M-2210-</w:t>
          </w:r>
          <w:r w:rsidR="008D05DF">
            <w:rPr>
              <w:color w:val="000000"/>
              <w:sz w:val="16"/>
              <w:szCs w:val="16"/>
            </w:rPr>
            <w:t>12</w:t>
          </w:r>
        </w:p>
      </w:tc>
    </w:tr>
    <w:tr w:rsidR="00153753" w:rsidTr="008D05DF">
      <w:trPr>
        <w:trHeight w:val="400"/>
      </w:trPr>
      <w:tc>
        <w:tcPr>
          <w:tcW w:w="2586" w:type="dxa"/>
          <w:vMerge/>
          <w:vAlign w:val="center"/>
        </w:tcPr>
        <w:p w:rsidR="00153753" w:rsidRDefault="00153753">
          <w:pPr>
            <w:widowControl w:val="0"/>
            <w:pBdr>
              <w:top w:val="nil"/>
              <w:left w:val="nil"/>
              <w:bottom w:val="nil"/>
              <w:right w:val="nil"/>
              <w:between w:val="nil"/>
            </w:pBdr>
            <w:spacing w:line="276" w:lineRule="auto"/>
            <w:rPr>
              <w:color w:val="000000"/>
              <w:sz w:val="16"/>
              <w:szCs w:val="16"/>
            </w:rPr>
          </w:pPr>
        </w:p>
      </w:tc>
      <w:tc>
        <w:tcPr>
          <w:tcW w:w="3822" w:type="dxa"/>
          <w:vMerge/>
          <w:shd w:val="clear" w:color="auto" w:fill="auto"/>
          <w:vAlign w:val="center"/>
        </w:tcPr>
        <w:p w:rsidR="00153753" w:rsidRDefault="00153753">
          <w:pPr>
            <w:widowControl w:val="0"/>
            <w:pBdr>
              <w:top w:val="nil"/>
              <w:left w:val="nil"/>
              <w:bottom w:val="nil"/>
              <w:right w:val="nil"/>
              <w:between w:val="nil"/>
            </w:pBdr>
            <w:spacing w:line="276" w:lineRule="auto"/>
            <w:rPr>
              <w:color w:val="000000"/>
              <w:sz w:val="16"/>
              <w:szCs w:val="16"/>
            </w:rPr>
          </w:pPr>
        </w:p>
      </w:tc>
      <w:tc>
        <w:tcPr>
          <w:tcW w:w="992" w:type="dxa"/>
          <w:shd w:val="clear" w:color="auto" w:fill="8EAADB"/>
          <w:vAlign w:val="center"/>
        </w:tcPr>
        <w:p w:rsidR="00153753" w:rsidRDefault="004C238A">
          <w:pPr>
            <w:tabs>
              <w:tab w:val="center" w:pos="4419"/>
              <w:tab w:val="right" w:pos="8838"/>
            </w:tabs>
            <w:rPr>
              <w:b/>
              <w:color w:val="000000"/>
              <w:sz w:val="16"/>
              <w:szCs w:val="16"/>
            </w:rPr>
          </w:pPr>
          <w:r>
            <w:rPr>
              <w:b/>
              <w:color w:val="000000"/>
              <w:sz w:val="16"/>
              <w:szCs w:val="16"/>
            </w:rPr>
            <w:t>Versión</w:t>
          </w:r>
          <w:r>
            <w:rPr>
              <w:color w:val="000000"/>
              <w:sz w:val="16"/>
              <w:szCs w:val="16"/>
            </w:rPr>
            <w:t>:</w:t>
          </w:r>
        </w:p>
      </w:tc>
      <w:tc>
        <w:tcPr>
          <w:tcW w:w="1418" w:type="dxa"/>
          <w:shd w:val="clear" w:color="auto" w:fill="auto"/>
          <w:vAlign w:val="center"/>
        </w:tcPr>
        <w:p w:rsidR="00153753" w:rsidRDefault="004C238A">
          <w:pPr>
            <w:tabs>
              <w:tab w:val="center" w:pos="4419"/>
              <w:tab w:val="right" w:pos="8838"/>
            </w:tabs>
            <w:rPr>
              <w:b/>
              <w:color w:val="000000"/>
              <w:sz w:val="16"/>
              <w:szCs w:val="16"/>
            </w:rPr>
          </w:pPr>
          <w:r>
            <w:rPr>
              <w:color w:val="000000"/>
              <w:sz w:val="16"/>
              <w:szCs w:val="16"/>
            </w:rPr>
            <w:t>1</w:t>
          </w:r>
        </w:p>
      </w:tc>
    </w:tr>
  </w:tbl>
  <w:p w:rsidR="00153753" w:rsidRDefault="004C238A">
    <w:pPr>
      <w:pBdr>
        <w:top w:val="nil"/>
        <w:left w:val="nil"/>
        <w:bottom w:val="nil"/>
        <w:right w:val="nil"/>
        <w:between w:val="nil"/>
      </w:pBdr>
      <w:tabs>
        <w:tab w:val="center" w:pos="4419"/>
        <w:tab w:val="right" w:pos="8838"/>
      </w:tabs>
      <w:rPr>
        <w:rFonts w:eastAsia="Arial"/>
        <w:color w:val="000000"/>
        <w:szCs w:val="22"/>
      </w:rPr>
    </w:pPr>
    <w:r>
      <w:rPr>
        <w:rFonts w:eastAsia="Arial"/>
        <w:noProof/>
        <w:color w:val="000000"/>
        <w:szCs w:val="22"/>
      </w:rPr>
      <mc:AlternateContent>
        <mc:Choice Requires="wps">
          <w:drawing>
            <wp:anchor distT="0" distB="0" distL="114300" distR="114300" simplePos="0" relativeHeight="251658240" behindDoc="0" locked="0" layoutInCell="1" hidden="0" allowOverlap="1">
              <wp:simplePos x="0" y="0"/>
              <wp:positionH relativeFrom="rightMargin">
                <wp:posOffset>223203</wp:posOffset>
              </wp:positionH>
              <wp:positionV relativeFrom="page">
                <wp:posOffset>4146868</wp:posOffset>
              </wp:positionV>
              <wp:extent cx="771525" cy="904875"/>
              <wp:effectExtent l="0" t="0" r="0" b="0"/>
              <wp:wrapNone/>
              <wp:docPr id="12" name="Rectángulo 12"/>
              <wp:cNvGraphicFramePr/>
              <a:graphic xmlns:a="http://schemas.openxmlformats.org/drawingml/2006/main">
                <a:graphicData uri="http://schemas.microsoft.com/office/word/2010/wordprocessingShape">
                  <wps:wsp>
                    <wps:cNvSpPr/>
                    <wps:spPr>
                      <a:xfrm>
                        <a:off x="4965000" y="3332325"/>
                        <a:ext cx="762000" cy="895350"/>
                      </a:xfrm>
                      <a:prstGeom prst="rect">
                        <a:avLst/>
                      </a:prstGeom>
                      <a:solidFill>
                        <a:srgbClr val="FFFFFF"/>
                      </a:solidFill>
                      <a:ln>
                        <a:noFill/>
                      </a:ln>
                    </wps:spPr>
                    <wps:txbx>
                      <w:txbxContent>
                        <w:p w:rsidR="00153753" w:rsidRDefault="008D05DF">
                          <w:pPr>
                            <w:jc w:val="center"/>
                            <w:textDirection w:val="btLr"/>
                          </w:pPr>
                          <w:r>
                            <w:fldChar w:fldCharType="begin"/>
                          </w:r>
                          <w:r>
                            <w:instrText>PAGE   \* MERGEFORMAT</w:instrText>
                          </w:r>
                          <w:r>
                            <w:fldChar w:fldCharType="separate"/>
                          </w:r>
                          <w:r w:rsidRPr="008D05DF">
                            <w:rPr>
                              <w:noProof/>
                              <w:lang w:val="es-ES"/>
                            </w:rPr>
                            <w:t>1</w:t>
                          </w:r>
                          <w:r>
                            <w:fldChar w:fldCharType="end"/>
                          </w:r>
                        </w:p>
                      </w:txbxContent>
                    </wps:txbx>
                    <wps:bodyPr spcFirstLastPara="1" wrap="square" lIns="91425" tIns="45700" rIns="91425" bIns="45700" anchor="t" anchorCtr="0">
                      <a:noAutofit/>
                    </wps:bodyPr>
                  </wps:wsp>
                </a:graphicData>
              </a:graphic>
            </wp:anchor>
          </w:drawing>
        </mc:Choice>
        <mc:Fallback>
          <w:pict>
            <v:rect id="Rectángulo 12" o:spid="_x0000_s1026" style="position:absolute;margin-left:17.6pt;margin-top:326.55pt;width:60.75pt;height:71.25pt;z-index:251658240;visibility:visible;mso-wrap-style:square;mso-wrap-distance-left:9pt;mso-wrap-distance-top:0;mso-wrap-distance-right:9pt;mso-wrap-distance-bottom:0;mso-position-horizontal:absolute;mso-position-horizontal-relative:right-margin-area;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" stroked="f">
              <v:textbox inset="2.53958mm,1.2694mm,2.53958mm,1.2694mm">
                <w:txbxContent>
                  <w:p w:rsidR="00153753" w:rsidRDefault="008D05DF">
                    <w:pPr>
                      <w:jc w:val="center"/>
                      <w:textDirection w:val="btLr"/>
                    </w:pPr>
                    <w:r>
                      <w:fldChar w:fldCharType="begin"/>
                    </w:r>
                    <w:r>
                      <w:instrText>PAGE   \* MERGEFORMAT</w:instrText>
                    </w:r>
                    <w:r>
                      <w:fldChar w:fldCharType="separate"/>
                    </w:r>
                    <w:r w:rsidRPr="008D05DF">
                      <w:rPr>
                        <w:noProof/>
                        <w:lang w:val="es-ES"/>
                      </w:rPr>
                      <w:t>1</w:t>
                    </w:r>
                    <w:r>
                      <w:fldChar w:fldCharType="end"/>
                    </w:r>
                  </w:p>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1752B"/>
    <w:multiLevelType w:val="multilevel"/>
    <w:tmpl w:val="873EE41A"/>
    <w:lvl w:ilvl="0">
      <w:start w:val="1"/>
      <w:numFmt w:val="decimal"/>
      <w:pStyle w:val="Ttulo1"/>
      <w:lvlText w:val="%1."/>
      <w:lvlJc w:val="left"/>
      <w:pPr>
        <w:ind w:left="720" w:firstLine="360"/>
      </w:pPr>
    </w:lvl>
    <w:lvl w:ilvl="1">
      <w:start w:val="1"/>
      <w:numFmt w:val="decimal"/>
      <w:lvlText w:val="%2."/>
      <w:lvlJc w:val="left"/>
      <w:pPr>
        <w:ind w:left="1440" w:firstLine="1080"/>
      </w:pPr>
    </w:lvl>
    <w:lvl w:ilvl="2">
      <w:start w:val="1"/>
      <w:numFmt w:val="decimal"/>
      <w:lvlText w:val="%3."/>
      <w:lvlJc w:val="left"/>
      <w:pPr>
        <w:ind w:left="2160" w:firstLine="1800"/>
      </w:pPr>
    </w:lvl>
    <w:lvl w:ilvl="3">
      <w:start w:val="1"/>
      <w:numFmt w:val="decimal"/>
      <w:lvlText w:val="%4."/>
      <w:lvlJc w:val="left"/>
      <w:pPr>
        <w:ind w:left="2880" w:firstLine="2520"/>
      </w:pPr>
    </w:lvl>
    <w:lvl w:ilvl="4">
      <w:start w:val="1"/>
      <w:numFmt w:val="decimal"/>
      <w:lvlText w:val="%5."/>
      <w:lvlJc w:val="left"/>
      <w:pPr>
        <w:ind w:left="3600" w:firstLine="3240"/>
      </w:pPr>
    </w:lvl>
    <w:lvl w:ilvl="5">
      <w:start w:val="1"/>
      <w:numFmt w:val="decimal"/>
      <w:lvlText w:val="%6."/>
      <w:lvlJc w:val="left"/>
      <w:pPr>
        <w:ind w:left="4320" w:firstLine="3960"/>
      </w:pPr>
    </w:lvl>
    <w:lvl w:ilvl="6">
      <w:start w:val="1"/>
      <w:numFmt w:val="decimal"/>
      <w:lvlText w:val="%7."/>
      <w:lvlJc w:val="left"/>
      <w:pPr>
        <w:ind w:left="5040" w:firstLine="4680"/>
      </w:pPr>
    </w:lvl>
    <w:lvl w:ilvl="7">
      <w:start w:val="1"/>
      <w:numFmt w:val="decimal"/>
      <w:lvlText w:val="%8."/>
      <w:lvlJc w:val="left"/>
      <w:pPr>
        <w:ind w:left="5760" w:firstLine="5400"/>
      </w:pPr>
    </w:lvl>
    <w:lvl w:ilvl="8">
      <w:start w:val="1"/>
      <w:numFmt w:val="decimal"/>
      <w:lvlText w:val="%9."/>
      <w:lvlJc w:val="left"/>
      <w:pPr>
        <w:ind w:left="6480" w:firstLine="6120"/>
      </w:pPr>
    </w:lvl>
  </w:abstractNum>
  <w:abstractNum w:abstractNumId="1" w15:restartNumberingAfterBreak="0">
    <w:nsid w:val="157F686C"/>
    <w:multiLevelType w:val="multilevel"/>
    <w:tmpl w:val="74DED648"/>
    <w:lvl w:ilvl="0">
      <w:start w:val="1"/>
      <w:numFmt w:val="upperRoman"/>
      <w:lvlText w:val="%1."/>
      <w:lvlJc w:val="right"/>
      <w:pPr>
        <w:ind w:left="644" w:hanging="359"/>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 w15:restartNumberingAfterBreak="0">
    <w:nsid w:val="1B275E87"/>
    <w:multiLevelType w:val="multilevel"/>
    <w:tmpl w:val="4C7C9B32"/>
    <w:lvl w:ilvl="0">
      <w:start w:val="1"/>
      <w:numFmt w:val="upperRoman"/>
      <w:lvlText w:val="%1."/>
      <w:lvlJc w:val="right"/>
      <w:pPr>
        <w:ind w:left="644" w:hanging="359"/>
      </w:pPr>
    </w:lvl>
    <w:lvl w:ilvl="1">
      <w:start w:val="1"/>
      <w:numFmt w:val="decimal"/>
      <w:lvlText w:val="%1.%2."/>
      <w:lvlJc w:val="left"/>
      <w:pPr>
        <w:ind w:left="1080" w:hanging="720"/>
      </w:pPr>
      <w:rPr>
        <w:b/>
      </w:rPr>
    </w:lvl>
    <w:lvl w:ilvl="2">
      <w:start w:val="1"/>
      <w:numFmt w:val="bullet"/>
      <w:lvlText w:val="●"/>
      <w:lvlJc w:val="left"/>
      <w:pPr>
        <w:ind w:left="1080" w:hanging="720"/>
      </w:pPr>
      <w:rPr>
        <w:rFonts w:ascii="Noto Sans Symbols" w:eastAsia="Noto Sans Symbols" w:hAnsi="Noto Sans Symbols" w:cs="Noto Sans Symbols"/>
        <w:b/>
      </w:rPr>
    </w:lvl>
    <w:lvl w:ilvl="3">
      <w:start w:val="1"/>
      <w:numFmt w:val="decimal"/>
      <w:lvlText w:val="%1.%2.●.%4."/>
      <w:lvlJc w:val="left"/>
      <w:pPr>
        <w:ind w:left="1440" w:hanging="1080"/>
      </w:pPr>
    </w:lvl>
    <w:lvl w:ilvl="4">
      <w:start w:val="1"/>
      <w:numFmt w:val="decimal"/>
      <w:lvlText w:val="%1.%2.●.%4.%5."/>
      <w:lvlJc w:val="left"/>
      <w:pPr>
        <w:ind w:left="1440" w:hanging="1080"/>
      </w:pPr>
    </w:lvl>
    <w:lvl w:ilvl="5">
      <w:start w:val="1"/>
      <w:numFmt w:val="decimal"/>
      <w:lvlText w:val="%1.%2.●.%4.%5.%6."/>
      <w:lvlJc w:val="left"/>
      <w:pPr>
        <w:ind w:left="1800" w:hanging="1440"/>
      </w:pPr>
    </w:lvl>
    <w:lvl w:ilvl="6">
      <w:start w:val="1"/>
      <w:numFmt w:val="decimal"/>
      <w:lvlText w:val="%1.%2.●.%4.%5.%6.%7."/>
      <w:lvlJc w:val="left"/>
      <w:pPr>
        <w:ind w:left="1800" w:hanging="1440"/>
      </w:pPr>
    </w:lvl>
    <w:lvl w:ilvl="7">
      <w:start w:val="1"/>
      <w:numFmt w:val="decimal"/>
      <w:lvlText w:val="%1.%2.●.%4.%5.%6.%7.%8."/>
      <w:lvlJc w:val="left"/>
      <w:pPr>
        <w:ind w:left="2160" w:hanging="1800"/>
      </w:pPr>
    </w:lvl>
    <w:lvl w:ilvl="8">
      <w:start w:val="1"/>
      <w:numFmt w:val="decimal"/>
      <w:lvlText w:val="%1.%2.●.%4.%5.%6.%7.%8.%9."/>
      <w:lvlJc w:val="left"/>
      <w:pPr>
        <w:ind w:left="2160" w:hanging="1800"/>
      </w:pPr>
    </w:lvl>
  </w:abstractNum>
  <w:abstractNum w:abstractNumId="3" w15:restartNumberingAfterBreak="0">
    <w:nsid w:val="21601217"/>
    <w:multiLevelType w:val="multilevel"/>
    <w:tmpl w:val="68F03A90"/>
    <w:lvl w:ilvl="0">
      <w:start w:val="1"/>
      <w:numFmt w:val="decimal"/>
      <w:lvlText w:val="%1."/>
      <w:lvlJc w:val="left"/>
      <w:pPr>
        <w:ind w:left="720" w:hanging="360"/>
      </w:pPr>
      <w:rPr>
        <w:rFonts w:ascii="Arial" w:eastAsia="Arial" w:hAnsi="Arial" w:cs="Arial"/>
        <w:b/>
        <w:sz w:val="22"/>
        <w:szCs w:val="22"/>
      </w:rPr>
    </w:lvl>
    <w:lvl w:ilvl="1">
      <w:start w:val="5"/>
      <w:numFmt w:val="decimal"/>
      <w:lvlText w:val="%1.%2."/>
      <w:lvlJc w:val="left"/>
      <w:pPr>
        <w:ind w:left="1080" w:hanging="720"/>
      </w:pPr>
      <w:rPr>
        <w:b/>
        <w:color w:val="000000"/>
      </w:rPr>
    </w:lvl>
    <w:lvl w:ilvl="2">
      <w:start w:val="1"/>
      <w:numFmt w:val="decimal"/>
      <w:lvlText w:val="%1.%2.%3."/>
      <w:lvlJc w:val="left"/>
      <w:pPr>
        <w:ind w:left="862" w:hanging="720"/>
      </w:pPr>
      <w:rPr>
        <w:b/>
        <w:color w:val="000000"/>
      </w:rPr>
    </w:lvl>
    <w:lvl w:ilvl="3">
      <w:start w:val="1"/>
      <w:numFmt w:val="decimal"/>
      <w:lvlText w:val="%1.%2.%3.%4."/>
      <w:lvlJc w:val="left"/>
      <w:pPr>
        <w:ind w:left="1440" w:hanging="1080"/>
      </w:pPr>
      <w:rPr>
        <w:b/>
        <w:color w:val="000000"/>
      </w:rPr>
    </w:lvl>
    <w:lvl w:ilvl="4">
      <w:start w:val="1"/>
      <w:numFmt w:val="decimal"/>
      <w:lvlText w:val="%1.%2.%3.%4.%5."/>
      <w:lvlJc w:val="left"/>
      <w:pPr>
        <w:ind w:left="1440" w:hanging="1080"/>
      </w:pPr>
      <w:rPr>
        <w:b/>
        <w:color w:val="000000"/>
      </w:rPr>
    </w:lvl>
    <w:lvl w:ilvl="5">
      <w:start w:val="1"/>
      <w:numFmt w:val="decimal"/>
      <w:lvlText w:val="%1.%2.%3.%4.%5.%6."/>
      <w:lvlJc w:val="left"/>
      <w:pPr>
        <w:ind w:left="1800" w:hanging="1440"/>
      </w:pPr>
      <w:rPr>
        <w:b/>
        <w:color w:val="000000"/>
      </w:rPr>
    </w:lvl>
    <w:lvl w:ilvl="6">
      <w:start w:val="1"/>
      <w:numFmt w:val="decimal"/>
      <w:lvlText w:val="%1.%2.%3.%4.%5.%6.%7."/>
      <w:lvlJc w:val="left"/>
      <w:pPr>
        <w:ind w:left="1800" w:hanging="1440"/>
      </w:pPr>
      <w:rPr>
        <w:b/>
        <w:color w:val="000000"/>
      </w:rPr>
    </w:lvl>
    <w:lvl w:ilvl="7">
      <w:start w:val="1"/>
      <w:numFmt w:val="decimal"/>
      <w:lvlText w:val="%1.%2.%3.%4.%5.%6.%7.%8."/>
      <w:lvlJc w:val="left"/>
      <w:pPr>
        <w:ind w:left="2160" w:hanging="1800"/>
      </w:pPr>
      <w:rPr>
        <w:b/>
        <w:color w:val="000000"/>
      </w:rPr>
    </w:lvl>
    <w:lvl w:ilvl="8">
      <w:start w:val="1"/>
      <w:numFmt w:val="decimal"/>
      <w:lvlText w:val="%1.%2.%3.%4.%5.%6.%7.%8.%9."/>
      <w:lvlJc w:val="left"/>
      <w:pPr>
        <w:ind w:left="2160" w:hanging="1800"/>
      </w:pPr>
      <w:rPr>
        <w:b/>
        <w:color w:val="000000"/>
      </w:rPr>
    </w:lvl>
  </w:abstractNum>
  <w:abstractNum w:abstractNumId="4" w15:restartNumberingAfterBreak="0">
    <w:nsid w:val="2478533B"/>
    <w:multiLevelType w:val="multilevel"/>
    <w:tmpl w:val="ACC47D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59344B7"/>
    <w:multiLevelType w:val="multilevel"/>
    <w:tmpl w:val="DEA4C66E"/>
    <w:lvl w:ilvl="0">
      <w:start w:val="1"/>
      <w:numFmt w:val="decimal"/>
      <w:lvlText w:val="%1."/>
      <w:lvlJc w:val="left"/>
      <w:pPr>
        <w:ind w:left="360" w:hanging="360"/>
      </w:pPr>
      <w:rPr>
        <w:b/>
        <w:color w:val="000000"/>
      </w:rPr>
    </w:lvl>
    <w:lvl w:ilvl="1">
      <w:start w:val="1"/>
      <w:numFmt w:val="decimal"/>
      <w:lvlText w:val="%1.%2."/>
      <w:lvlJc w:val="left"/>
      <w:pPr>
        <w:ind w:left="720" w:hanging="720"/>
      </w:pPr>
      <w:rPr>
        <w:b/>
        <w:color w:val="000000"/>
      </w:rPr>
    </w:lvl>
    <w:lvl w:ilvl="2">
      <w:start w:val="1"/>
      <w:numFmt w:val="decimal"/>
      <w:lvlText w:val="%1.%2.%3."/>
      <w:lvlJc w:val="left"/>
      <w:pPr>
        <w:ind w:left="1440" w:hanging="720"/>
      </w:pPr>
      <w:rPr>
        <w:b/>
        <w:color w:val="000000"/>
      </w:rPr>
    </w:lvl>
    <w:lvl w:ilvl="3">
      <w:start w:val="1"/>
      <w:numFmt w:val="decimal"/>
      <w:lvlText w:val="%1.%2.%3.%4."/>
      <w:lvlJc w:val="left"/>
      <w:pPr>
        <w:ind w:left="2160" w:hanging="1080"/>
      </w:pPr>
      <w:rPr>
        <w:b/>
        <w:color w:val="000000"/>
      </w:rPr>
    </w:lvl>
    <w:lvl w:ilvl="4">
      <w:start w:val="1"/>
      <w:numFmt w:val="decimal"/>
      <w:lvlText w:val="%1.%2.%3.%4.%5."/>
      <w:lvlJc w:val="left"/>
      <w:pPr>
        <w:ind w:left="2520" w:hanging="1080"/>
      </w:pPr>
      <w:rPr>
        <w:b/>
        <w:color w:val="000000"/>
      </w:rPr>
    </w:lvl>
    <w:lvl w:ilvl="5">
      <w:start w:val="1"/>
      <w:numFmt w:val="decimal"/>
      <w:lvlText w:val="%1.%2.%3.%4.%5.%6."/>
      <w:lvlJc w:val="left"/>
      <w:pPr>
        <w:ind w:left="3240" w:hanging="1440"/>
      </w:pPr>
      <w:rPr>
        <w:b/>
        <w:color w:val="000000"/>
      </w:rPr>
    </w:lvl>
    <w:lvl w:ilvl="6">
      <w:start w:val="1"/>
      <w:numFmt w:val="decimal"/>
      <w:lvlText w:val="%1.%2.%3.%4.%5.%6.%7."/>
      <w:lvlJc w:val="left"/>
      <w:pPr>
        <w:ind w:left="3600" w:hanging="1440"/>
      </w:pPr>
      <w:rPr>
        <w:b/>
        <w:color w:val="000000"/>
      </w:rPr>
    </w:lvl>
    <w:lvl w:ilvl="7">
      <w:start w:val="1"/>
      <w:numFmt w:val="decimal"/>
      <w:lvlText w:val="%1.%2.%3.%4.%5.%6.%7.%8."/>
      <w:lvlJc w:val="left"/>
      <w:pPr>
        <w:ind w:left="4320" w:hanging="1800"/>
      </w:pPr>
      <w:rPr>
        <w:b/>
        <w:color w:val="000000"/>
      </w:rPr>
    </w:lvl>
    <w:lvl w:ilvl="8">
      <w:start w:val="1"/>
      <w:numFmt w:val="decimal"/>
      <w:lvlText w:val="%1.%2.%3.%4.%5.%6.%7.%8.%9."/>
      <w:lvlJc w:val="left"/>
      <w:pPr>
        <w:ind w:left="4680" w:hanging="1800"/>
      </w:pPr>
      <w:rPr>
        <w:b/>
        <w:color w:val="000000"/>
      </w:rPr>
    </w:lvl>
  </w:abstractNum>
  <w:abstractNum w:abstractNumId="6" w15:restartNumberingAfterBreak="0">
    <w:nsid w:val="28B90323"/>
    <w:multiLevelType w:val="multilevel"/>
    <w:tmpl w:val="0B1A5B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3D5B1251"/>
    <w:multiLevelType w:val="multilevel"/>
    <w:tmpl w:val="E2E868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21A0D97"/>
    <w:multiLevelType w:val="multilevel"/>
    <w:tmpl w:val="F7309C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3240899"/>
    <w:multiLevelType w:val="multilevel"/>
    <w:tmpl w:val="019899F6"/>
    <w:lvl w:ilvl="0">
      <w:start w:val="1"/>
      <w:numFmt w:val="bullet"/>
      <w:pStyle w:val="Ttulo2"/>
      <w:lvlText w:val="●"/>
      <w:lvlJc w:val="left"/>
      <w:pPr>
        <w:ind w:left="720" w:firstLine="360"/>
      </w:pPr>
      <w:rPr>
        <w:rFonts w:ascii="Arial" w:eastAsia="Arial" w:hAnsi="Arial" w:cs="Arial"/>
        <w:sz w:val="20"/>
        <w:szCs w:val="20"/>
      </w:rPr>
    </w:lvl>
    <w:lvl w:ilvl="1">
      <w:start w:val="1"/>
      <w:numFmt w:val="bullet"/>
      <w:lvlText w:val="●"/>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0" w15:restartNumberingAfterBreak="0">
    <w:nsid w:val="74FF2AE4"/>
    <w:multiLevelType w:val="multilevel"/>
    <w:tmpl w:val="5D62F680"/>
    <w:lvl w:ilvl="0">
      <w:start w:val="1"/>
      <w:numFmt w:val="upperRoman"/>
      <w:lvlText w:val="%1."/>
      <w:lvlJc w:val="right"/>
      <w:pPr>
        <w:ind w:left="644" w:hanging="359"/>
      </w:pPr>
    </w:lvl>
    <w:lvl w:ilvl="1">
      <w:start w:val="1"/>
      <w:numFmt w:val="decimal"/>
      <w:lvlText w:val="%1.%2."/>
      <w:lvlJc w:val="left"/>
      <w:pPr>
        <w:ind w:left="1080" w:hanging="720"/>
      </w:pPr>
      <w:rPr>
        <w:b/>
      </w:rPr>
    </w:lvl>
    <w:lvl w:ilvl="2">
      <w:start w:val="1"/>
      <w:numFmt w:val="bullet"/>
      <w:lvlText w:val="●"/>
      <w:lvlJc w:val="left"/>
      <w:pPr>
        <w:ind w:left="1080" w:hanging="720"/>
      </w:pPr>
      <w:rPr>
        <w:rFonts w:ascii="Noto Sans Symbols" w:eastAsia="Noto Sans Symbols" w:hAnsi="Noto Sans Symbols" w:cs="Noto Sans Symbols"/>
        <w:b/>
      </w:rPr>
    </w:lvl>
    <w:lvl w:ilvl="3">
      <w:start w:val="1"/>
      <w:numFmt w:val="decimal"/>
      <w:lvlText w:val="%1.%2.●.%4."/>
      <w:lvlJc w:val="left"/>
      <w:pPr>
        <w:ind w:left="1440" w:hanging="1080"/>
      </w:pPr>
    </w:lvl>
    <w:lvl w:ilvl="4">
      <w:start w:val="1"/>
      <w:numFmt w:val="decimal"/>
      <w:lvlText w:val="%1.%2.●.%4.%5."/>
      <w:lvlJc w:val="left"/>
      <w:pPr>
        <w:ind w:left="1440" w:hanging="1080"/>
      </w:pPr>
    </w:lvl>
    <w:lvl w:ilvl="5">
      <w:start w:val="1"/>
      <w:numFmt w:val="decimal"/>
      <w:lvlText w:val="%1.%2.●.%4.%5.%6."/>
      <w:lvlJc w:val="left"/>
      <w:pPr>
        <w:ind w:left="1800" w:hanging="1440"/>
      </w:pPr>
    </w:lvl>
    <w:lvl w:ilvl="6">
      <w:start w:val="1"/>
      <w:numFmt w:val="decimal"/>
      <w:lvlText w:val="%1.%2.●.%4.%5.%6.%7."/>
      <w:lvlJc w:val="left"/>
      <w:pPr>
        <w:ind w:left="1800" w:hanging="1440"/>
      </w:pPr>
    </w:lvl>
    <w:lvl w:ilvl="7">
      <w:start w:val="1"/>
      <w:numFmt w:val="decimal"/>
      <w:lvlText w:val="%1.%2.●.%4.%5.%6.%7.%8."/>
      <w:lvlJc w:val="left"/>
      <w:pPr>
        <w:ind w:left="2160" w:hanging="1800"/>
      </w:pPr>
    </w:lvl>
    <w:lvl w:ilvl="8">
      <w:start w:val="1"/>
      <w:numFmt w:val="decimal"/>
      <w:lvlText w:val="%1.%2.●.%4.%5.%6.%7.%8.%9."/>
      <w:lvlJc w:val="left"/>
      <w:pPr>
        <w:ind w:left="2160" w:hanging="1800"/>
      </w:pPr>
    </w:lvl>
  </w:abstractNum>
  <w:num w:numId="1">
    <w:abstractNumId w:val="5"/>
  </w:num>
  <w:num w:numId="2">
    <w:abstractNumId w:val="9"/>
  </w:num>
  <w:num w:numId="3">
    <w:abstractNumId w:val="0"/>
  </w:num>
  <w:num w:numId="4">
    <w:abstractNumId w:val="6"/>
  </w:num>
  <w:num w:numId="5">
    <w:abstractNumId w:val="7"/>
  </w:num>
  <w:num w:numId="6">
    <w:abstractNumId w:val="8"/>
  </w:num>
  <w:num w:numId="7">
    <w:abstractNumId w:val="4"/>
  </w:num>
  <w:num w:numId="8">
    <w:abstractNumId w:val="10"/>
  </w:num>
  <w:num w:numId="9">
    <w:abstractNumId w:val="2"/>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753"/>
    <w:rsid w:val="00153753"/>
    <w:rsid w:val="004C238A"/>
    <w:rsid w:val="008D05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880863"/>
  <w15:docId w15:val="{14ACF4EE-000F-4140-99A0-C6545C1F7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A76"/>
    <w:rPr>
      <w:rFonts w:eastAsia="Calibri"/>
      <w:szCs w:val="20"/>
    </w:rPr>
  </w:style>
  <w:style w:type="paragraph" w:styleId="Ttulo1">
    <w:name w:val="heading 1"/>
    <w:basedOn w:val="Normal"/>
    <w:next w:val="Normal"/>
    <w:link w:val="Ttulo1Car"/>
    <w:uiPriority w:val="9"/>
    <w:qFormat/>
    <w:rsid w:val="00AB11A3"/>
    <w:pPr>
      <w:keepNext/>
      <w:keepLines/>
      <w:numPr>
        <w:numId w:val="3"/>
      </w:numPr>
      <w:spacing w:before="240" w:after="120" w:line="480" w:lineRule="auto"/>
      <w:jc w:val="center"/>
      <w:outlineLvl w:val="0"/>
    </w:pPr>
    <w:rPr>
      <w:rFonts w:eastAsiaTheme="majorEastAsia" w:cstheme="majorBidi"/>
      <w:b/>
      <w:color w:val="000000" w:themeColor="text1"/>
      <w:szCs w:val="32"/>
    </w:rPr>
  </w:style>
  <w:style w:type="paragraph" w:styleId="Ttulo2">
    <w:name w:val="heading 2"/>
    <w:basedOn w:val="Normal"/>
    <w:next w:val="Normal"/>
    <w:link w:val="Ttulo2Car"/>
    <w:uiPriority w:val="9"/>
    <w:unhideWhenUsed/>
    <w:qFormat/>
    <w:rsid w:val="00EE6B2F"/>
    <w:pPr>
      <w:keepNext/>
      <w:keepLines/>
      <w:numPr>
        <w:numId w:val="2"/>
      </w:numPr>
      <w:spacing w:before="40"/>
      <w:outlineLvl w:val="1"/>
    </w:pPr>
    <w:rPr>
      <w:rFonts w:eastAsiaTheme="majorEastAsia" w:cstheme="majorBidi"/>
      <w:b/>
      <w:color w:val="000000" w:themeColor="text1"/>
      <w:szCs w:val="26"/>
    </w:rPr>
  </w:style>
  <w:style w:type="paragraph" w:styleId="Ttulo3">
    <w:name w:val="heading 3"/>
    <w:basedOn w:val="Normal"/>
    <w:next w:val="Normal"/>
    <w:link w:val="Ttulo3Car"/>
    <w:uiPriority w:val="9"/>
    <w:unhideWhenUsed/>
    <w:qFormat/>
    <w:rsid w:val="001A0A76"/>
    <w:pPr>
      <w:keepNext/>
      <w:keepLines/>
      <w:spacing w:before="40"/>
      <w:outlineLvl w:val="2"/>
    </w:pPr>
    <w:rPr>
      <w:rFonts w:eastAsiaTheme="majorEastAsia" w:cstheme="majorBidi"/>
      <w:b/>
      <w:color w:val="000000" w:themeColor="text1"/>
      <w:szCs w:val="24"/>
    </w:rPr>
  </w:style>
  <w:style w:type="paragraph" w:styleId="Ttulo4">
    <w:name w:val="heading 4"/>
    <w:basedOn w:val="Normal"/>
    <w:next w:val="Normal"/>
    <w:link w:val="Ttulo4Car"/>
    <w:uiPriority w:val="9"/>
    <w:unhideWhenUsed/>
    <w:qFormat/>
    <w:rsid w:val="005012E0"/>
    <w:pPr>
      <w:keepNext/>
      <w:keepLines/>
      <w:spacing w:before="40"/>
      <w:outlineLvl w:val="3"/>
    </w:pPr>
    <w:rPr>
      <w:rFonts w:eastAsiaTheme="majorEastAsia" w:cstheme="majorBidi"/>
      <w:b/>
      <w:iCs/>
    </w:rPr>
  </w:style>
  <w:style w:type="paragraph" w:styleId="Ttulo5">
    <w:name w:val="heading 5"/>
    <w:basedOn w:val="Normal"/>
    <w:next w:val="Normal"/>
    <w:link w:val="Ttulo5Car"/>
    <w:uiPriority w:val="9"/>
    <w:unhideWhenUsed/>
    <w:qFormat/>
    <w:rsid w:val="005B0199"/>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pPr>
      <w:keepNext/>
      <w:keepLines/>
      <w:spacing w:before="200" w:after="40"/>
      <w:outlineLvl w:val="5"/>
    </w:pPr>
    <w:rPr>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Estilo1">
    <w:name w:val="Estilo1"/>
    <w:basedOn w:val="Tablaconcuadrcula8"/>
    <w:uiPriority w:val="99"/>
    <w:rsid w:val="001C1786"/>
    <w:pPr>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nhideWhenUsed/>
    <w:rsid w:val="00DA2B0B"/>
    <w:pPr>
      <w:tabs>
        <w:tab w:val="center" w:pos="4419"/>
        <w:tab w:val="right" w:pos="8838"/>
      </w:tabs>
    </w:pPr>
  </w:style>
  <w:style w:type="character" w:customStyle="1" w:styleId="EncabezadoCar">
    <w:name w:val="Encabezado Car"/>
    <w:basedOn w:val="Fuentedeprrafopredeter"/>
    <w:link w:val="Encabezado"/>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nhideWhenUsed/>
    <w:rsid w:val="00F24CA1"/>
  </w:style>
  <w:style w:type="character" w:customStyle="1" w:styleId="TextocomentarioCar">
    <w:name w:val="Texto comentario Car"/>
    <w:basedOn w:val="Fuentedeprrafopredeter"/>
    <w:link w:val="Textocomentario"/>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rPr>
      <w:rFonts w:ascii="Calibri" w:eastAsia="Calibri" w:hAnsi="Calibri"/>
      <w:sz w:val="20"/>
      <w:szCs w:val="20"/>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1A0A76"/>
    <w:rPr>
      <w:rFonts w:ascii="Arial" w:eastAsiaTheme="majorEastAsia" w:hAnsi="Arial" w:cstheme="majorBidi"/>
      <w:b/>
      <w:color w:val="000000" w:themeColor="text1"/>
      <w:szCs w:val="24"/>
      <w:lang w:eastAsia="es-CO"/>
    </w:rPr>
  </w:style>
  <w:style w:type="paragraph" w:customStyle="1" w:styleId="Default">
    <w:name w:val="Default"/>
    <w:rsid w:val="00610787"/>
    <w:pPr>
      <w:autoSpaceDE w:val="0"/>
      <w:autoSpaceDN w:val="0"/>
      <w:adjustRightInd w:val="0"/>
    </w:pPr>
    <w:rPr>
      <w:rFonts w:ascii="Garamond" w:hAnsi="Garamond" w:cs="Garamond"/>
      <w:color w:val="000000"/>
      <w:sz w:val="24"/>
      <w:szCs w:val="24"/>
      <w:lang w:val="es-MX"/>
    </w:rPr>
  </w:style>
  <w:style w:type="character" w:customStyle="1" w:styleId="Ttulo1Car">
    <w:name w:val="Título 1 Car"/>
    <w:basedOn w:val="Fuentedeprrafopredeter"/>
    <w:link w:val="Ttulo1"/>
    <w:uiPriority w:val="9"/>
    <w:rsid w:val="00AB11A3"/>
    <w:rPr>
      <w:rFonts w:ascii="Arial" w:eastAsiaTheme="majorEastAsia" w:hAnsi="Arial" w:cstheme="majorBidi"/>
      <w:b/>
      <w:color w:val="000000" w:themeColor="text1"/>
      <w:szCs w:val="32"/>
      <w:lang w:eastAsia="es-CO"/>
    </w:rPr>
  </w:style>
  <w:style w:type="paragraph" w:styleId="TtuloTDC">
    <w:name w:val="TOC Heading"/>
    <w:basedOn w:val="Ttulo1"/>
    <w:next w:val="Normal"/>
    <w:uiPriority w:val="39"/>
    <w:unhideWhenUsed/>
    <w:qFormat/>
    <w:rsid w:val="001A0A76"/>
    <w:pPr>
      <w:spacing w:line="259" w:lineRule="auto"/>
      <w:outlineLvl w:val="9"/>
    </w:pPr>
    <w:rPr>
      <w:rFonts w:asciiTheme="majorHAnsi" w:hAnsiTheme="majorHAnsi"/>
      <w:b w:val="0"/>
      <w:color w:val="2E74B5" w:themeColor="accent1" w:themeShade="BF"/>
      <w:sz w:val="32"/>
      <w:lang w:val="es-MX" w:eastAsia="es-MX"/>
    </w:rPr>
  </w:style>
  <w:style w:type="paragraph" w:styleId="TDC1">
    <w:name w:val="toc 1"/>
    <w:basedOn w:val="Normal"/>
    <w:next w:val="Normal"/>
    <w:autoRedefine/>
    <w:uiPriority w:val="39"/>
    <w:unhideWhenUsed/>
    <w:rsid w:val="00992322"/>
    <w:pPr>
      <w:tabs>
        <w:tab w:val="left" w:pos="426"/>
        <w:tab w:val="right" w:leader="dot" w:pos="8828"/>
      </w:tabs>
      <w:spacing w:after="100"/>
    </w:pPr>
    <w:rPr>
      <w:b/>
      <w:sz w:val="20"/>
    </w:rPr>
  </w:style>
  <w:style w:type="paragraph" w:styleId="TDC2">
    <w:name w:val="toc 2"/>
    <w:basedOn w:val="Normal"/>
    <w:next w:val="Normal"/>
    <w:autoRedefine/>
    <w:uiPriority w:val="39"/>
    <w:unhideWhenUsed/>
    <w:rsid w:val="009A4785"/>
    <w:pPr>
      <w:tabs>
        <w:tab w:val="left" w:pos="1418"/>
        <w:tab w:val="right" w:leader="dot" w:pos="8828"/>
      </w:tabs>
      <w:spacing w:after="100"/>
      <w:ind w:left="426"/>
    </w:pPr>
    <w:rPr>
      <w:sz w:val="20"/>
    </w:rPr>
  </w:style>
  <w:style w:type="paragraph" w:styleId="TDC3">
    <w:name w:val="toc 3"/>
    <w:basedOn w:val="Normal"/>
    <w:next w:val="Normal"/>
    <w:autoRedefine/>
    <w:uiPriority w:val="39"/>
    <w:unhideWhenUsed/>
    <w:rsid w:val="0000128D"/>
    <w:pPr>
      <w:tabs>
        <w:tab w:val="left" w:pos="1418"/>
        <w:tab w:val="right" w:leader="dot" w:pos="8828"/>
      </w:tabs>
      <w:spacing w:after="100"/>
      <w:ind w:left="426"/>
    </w:pPr>
    <w:rPr>
      <w:sz w:val="20"/>
    </w:rPr>
  </w:style>
  <w:style w:type="character" w:styleId="Hipervnculo">
    <w:name w:val="Hyperlink"/>
    <w:basedOn w:val="Fuentedeprrafopredeter"/>
    <w:uiPriority w:val="99"/>
    <w:unhideWhenUsed/>
    <w:rsid w:val="001A0A76"/>
    <w:rPr>
      <w:color w:val="0563C1" w:themeColor="hyperlink"/>
      <w:u w:val="single"/>
    </w:rPr>
  </w:style>
  <w:style w:type="character" w:customStyle="1" w:styleId="Ttulo4Car">
    <w:name w:val="Título 4 Car"/>
    <w:basedOn w:val="Fuentedeprrafopredeter"/>
    <w:link w:val="Ttulo4"/>
    <w:uiPriority w:val="9"/>
    <w:rsid w:val="005012E0"/>
    <w:rPr>
      <w:rFonts w:ascii="Arial" w:eastAsiaTheme="majorEastAsia" w:hAnsi="Arial" w:cstheme="majorBidi"/>
      <w:b/>
      <w:iCs/>
      <w:szCs w:val="20"/>
      <w:lang w:eastAsia="es-CO"/>
    </w:rPr>
  </w:style>
  <w:style w:type="paragraph" w:styleId="TDC4">
    <w:name w:val="toc 4"/>
    <w:basedOn w:val="Normal"/>
    <w:next w:val="Normal"/>
    <w:autoRedefine/>
    <w:uiPriority w:val="39"/>
    <w:unhideWhenUsed/>
    <w:rsid w:val="0000128D"/>
    <w:pPr>
      <w:tabs>
        <w:tab w:val="left" w:pos="1418"/>
        <w:tab w:val="right" w:leader="dot" w:pos="8828"/>
      </w:tabs>
      <w:spacing w:after="100"/>
      <w:ind w:left="426"/>
    </w:pPr>
    <w:rPr>
      <w:sz w:val="20"/>
    </w:rPr>
  </w:style>
  <w:style w:type="character" w:styleId="Textodelmarcadordeposicin">
    <w:name w:val="Placeholder Text"/>
    <w:basedOn w:val="Fuentedeprrafopredeter"/>
    <w:uiPriority w:val="99"/>
    <w:semiHidden/>
    <w:rsid w:val="00F93EB4"/>
    <w:rPr>
      <w:color w:val="808080"/>
    </w:rPr>
  </w:style>
  <w:style w:type="table" w:styleId="Tablanormal1">
    <w:name w:val="Plain Table 1"/>
    <w:basedOn w:val="Tablanormal"/>
    <w:uiPriority w:val="41"/>
    <w:rsid w:val="00F93EB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uiPriority w:val="1"/>
    <w:qFormat/>
    <w:rsid w:val="0059111E"/>
    <w:rPr>
      <w:rFonts w:eastAsia="Calibri"/>
      <w:szCs w:val="20"/>
    </w:rPr>
  </w:style>
  <w:style w:type="character" w:customStyle="1" w:styleId="Ttulo5Car">
    <w:name w:val="Título 5 Car"/>
    <w:basedOn w:val="Fuentedeprrafopredeter"/>
    <w:link w:val="Ttulo5"/>
    <w:uiPriority w:val="9"/>
    <w:rsid w:val="005B0199"/>
    <w:rPr>
      <w:rFonts w:asciiTheme="majorHAnsi" w:eastAsiaTheme="majorEastAsia" w:hAnsiTheme="majorHAnsi" w:cstheme="majorBidi"/>
      <w:color w:val="2E74B5" w:themeColor="accent1" w:themeShade="BF"/>
      <w:szCs w:val="20"/>
      <w:lang w:eastAsia="es-CO"/>
    </w:rPr>
  </w:style>
  <w:style w:type="character" w:customStyle="1" w:styleId="Ttulo2Car1">
    <w:name w:val="Título 2 Car1"/>
    <w:rsid w:val="005B0199"/>
    <w:rPr>
      <w:rFonts w:ascii="Arial" w:eastAsia="Arial" w:hAnsi="Arial" w:cs="Arial"/>
      <w:b/>
      <w:color w:val="000000"/>
      <w:sz w:val="24"/>
    </w:rPr>
  </w:style>
  <w:style w:type="character" w:customStyle="1" w:styleId="Ttulo3Car1">
    <w:name w:val="Título 3 Car1"/>
    <w:rsid w:val="005B0199"/>
    <w:rPr>
      <w:rFonts w:ascii="Arial" w:eastAsia="Arial" w:hAnsi="Arial" w:cs="Arial"/>
      <w:b/>
      <w:color w:val="000000"/>
      <w:sz w:val="24"/>
      <w:shd w:val="clear" w:color="auto" w:fill="FFFF00"/>
    </w:rPr>
  </w:style>
  <w:style w:type="character" w:customStyle="1" w:styleId="Ttulo1Car1">
    <w:name w:val="Título 1 Car1"/>
    <w:rsid w:val="005B0199"/>
    <w:rPr>
      <w:rFonts w:ascii="Arial" w:eastAsia="Arial" w:hAnsi="Arial" w:cs="Arial"/>
      <w:b/>
      <w:color w:val="000000"/>
      <w:sz w:val="32"/>
    </w:rPr>
  </w:style>
  <w:style w:type="character" w:customStyle="1" w:styleId="Ttulo5Car1">
    <w:name w:val="Título 5 Car1"/>
    <w:rsid w:val="005B0199"/>
    <w:rPr>
      <w:rFonts w:ascii="Arial" w:eastAsia="Arial" w:hAnsi="Arial" w:cs="Arial"/>
      <w:b/>
      <w:color w:val="000000"/>
      <w:sz w:val="22"/>
    </w:rPr>
  </w:style>
  <w:style w:type="character" w:customStyle="1" w:styleId="Ttulo4Car1">
    <w:name w:val="Título 4 Car1"/>
    <w:rsid w:val="005B0199"/>
    <w:rPr>
      <w:rFonts w:ascii="Arial" w:eastAsia="Arial" w:hAnsi="Arial" w:cs="Arial"/>
      <w:b/>
      <w:color w:val="000000"/>
      <w:sz w:val="22"/>
    </w:rPr>
  </w:style>
  <w:style w:type="table" w:customStyle="1" w:styleId="TableGrid">
    <w:name w:val="TableGrid"/>
    <w:rsid w:val="005B0199"/>
    <w:rPr>
      <w:rFonts w:eastAsiaTheme="minorEastAsia"/>
    </w:rPr>
    <w:tblPr>
      <w:tblCellMar>
        <w:top w:w="0" w:type="dxa"/>
        <w:left w:w="0" w:type="dxa"/>
        <w:bottom w:w="0" w:type="dxa"/>
        <w:right w:w="0" w:type="dxa"/>
      </w:tblCellMar>
    </w:tblPr>
  </w:style>
  <w:style w:type="paragraph" w:styleId="Textoindependiente">
    <w:name w:val="Body Text"/>
    <w:basedOn w:val="Normal"/>
    <w:link w:val="TextoindependienteCar"/>
    <w:uiPriority w:val="1"/>
    <w:qFormat/>
    <w:rsid w:val="00AF2342"/>
    <w:pPr>
      <w:widowControl w:val="0"/>
      <w:autoSpaceDE w:val="0"/>
      <w:autoSpaceDN w:val="0"/>
    </w:pPr>
    <w:rPr>
      <w:rFonts w:eastAsia="Arial"/>
      <w:szCs w:val="22"/>
      <w:lang w:val="es-ES" w:eastAsia="en-US"/>
    </w:rPr>
  </w:style>
  <w:style w:type="character" w:customStyle="1" w:styleId="TextoindependienteCar">
    <w:name w:val="Texto independiente Car"/>
    <w:basedOn w:val="Fuentedeprrafopredeter"/>
    <w:link w:val="Textoindependiente"/>
    <w:uiPriority w:val="1"/>
    <w:rsid w:val="00AF2342"/>
    <w:rPr>
      <w:rFonts w:ascii="Arial" w:eastAsia="Arial" w:hAnsi="Arial" w:cs="Arial"/>
      <w:lang w:val="es-ES"/>
    </w:rPr>
  </w:style>
  <w:style w:type="paragraph" w:styleId="Textonotapie">
    <w:name w:val="footnote text"/>
    <w:basedOn w:val="Normal"/>
    <w:link w:val="TextonotapieCar"/>
    <w:uiPriority w:val="99"/>
    <w:semiHidden/>
    <w:unhideWhenUsed/>
    <w:rsid w:val="00025C74"/>
    <w:rPr>
      <w:rFonts w:asciiTheme="minorHAnsi" w:eastAsiaTheme="minorHAnsi" w:hAnsiTheme="minorHAnsi" w:cstheme="minorBidi"/>
      <w:sz w:val="20"/>
      <w:lang w:eastAsia="en-US"/>
    </w:rPr>
  </w:style>
  <w:style w:type="character" w:customStyle="1" w:styleId="TextonotapieCar">
    <w:name w:val="Texto nota pie Car"/>
    <w:basedOn w:val="Fuentedeprrafopredeter"/>
    <w:link w:val="Textonotapie"/>
    <w:uiPriority w:val="99"/>
    <w:semiHidden/>
    <w:rsid w:val="00025C74"/>
    <w:rPr>
      <w:sz w:val="20"/>
      <w:szCs w:val="20"/>
    </w:rPr>
  </w:style>
  <w:style w:type="character" w:styleId="Refdenotaalpie">
    <w:name w:val="footnote reference"/>
    <w:basedOn w:val="Fuentedeprrafopredeter"/>
    <w:uiPriority w:val="99"/>
    <w:semiHidden/>
    <w:unhideWhenUsed/>
    <w:rsid w:val="00025C74"/>
    <w:rPr>
      <w:vertAlign w:val="superscript"/>
    </w:rPr>
  </w:style>
  <w:style w:type="paragraph" w:customStyle="1" w:styleId="Ttulo11">
    <w:name w:val="Título 11"/>
    <w:basedOn w:val="Normal"/>
    <w:uiPriority w:val="1"/>
    <w:qFormat/>
    <w:rsid w:val="00025C74"/>
    <w:pPr>
      <w:widowControl w:val="0"/>
      <w:autoSpaceDE w:val="0"/>
      <w:autoSpaceDN w:val="0"/>
      <w:ind w:left="242"/>
      <w:outlineLvl w:val="1"/>
    </w:pPr>
    <w:rPr>
      <w:rFonts w:eastAsia="Arial"/>
      <w:b/>
      <w:bCs/>
      <w:szCs w:val="22"/>
      <w:lang w:val="es-ES" w:eastAsia="en-US"/>
    </w:rPr>
  </w:style>
  <w:style w:type="character" w:styleId="Textoennegrita">
    <w:name w:val="Strong"/>
    <w:basedOn w:val="Fuentedeprrafopredeter"/>
    <w:uiPriority w:val="22"/>
    <w:qFormat/>
    <w:rsid w:val="00033689"/>
    <w:rPr>
      <w:b/>
      <w:bCs/>
    </w:rPr>
  </w:style>
  <w:style w:type="table" w:customStyle="1" w:styleId="NormalTable0">
    <w:name w:val="Normal Table0"/>
    <w:uiPriority w:val="2"/>
    <w:semiHidden/>
    <w:unhideWhenUsed/>
    <w:qFormat/>
    <w:rsid w:val="00033689"/>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33689"/>
    <w:pPr>
      <w:widowControl w:val="0"/>
      <w:autoSpaceDE w:val="0"/>
      <w:autoSpaceDN w:val="0"/>
    </w:pPr>
    <w:rPr>
      <w:rFonts w:eastAsia="Arial"/>
      <w:szCs w:val="22"/>
      <w:lang w:val="es-ES" w:eastAsia="en-US"/>
    </w:rPr>
  </w:style>
  <w:style w:type="paragraph" w:styleId="Textosinformato">
    <w:name w:val="Plain Text"/>
    <w:basedOn w:val="Normal"/>
    <w:link w:val="TextosinformatoCar"/>
    <w:rsid w:val="00033689"/>
    <w:rPr>
      <w:rFonts w:ascii="Courier New" w:eastAsia="Times New Roman" w:hAnsi="Courier New" w:cs="Times New Roman"/>
      <w:sz w:val="20"/>
      <w:lang w:eastAsia="es-ES"/>
    </w:rPr>
  </w:style>
  <w:style w:type="character" w:customStyle="1" w:styleId="TextosinformatoCar">
    <w:name w:val="Texto sin formato Car"/>
    <w:basedOn w:val="Fuentedeprrafopredeter"/>
    <w:link w:val="Textosinformato"/>
    <w:rsid w:val="00033689"/>
    <w:rPr>
      <w:rFonts w:ascii="Courier New" w:eastAsia="Times New Roman" w:hAnsi="Courier New" w:cs="Times New Roman"/>
      <w:sz w:val="20"/>
      <w:szCs w:val="20"/>
      <w:lang w:eastAsia="es-ES"/>
    </w:rPr>
  </w:style>
  <w:style w:type="numbering" w:customStyle="1" w:styleId="Sinlista1">
    <w:name w:val="Sin lista1"/>
    <w:next w:val="Sinlista"/>
    <w:uiPriority w:val="99"/>
    <w:semiHidden/>
    <w:unhideWhenUsed/>
    <w:rsid w:val="00033689"/>
  </w:style>
  <w:style w:type="character" w:styleId="Nmerodepgina">
    <w:name w:val="page number"/>
    <w:basedOn w:val="Fuentedeprrafopredeter"/>
    <w:rsid w:val="00033689"/>
  </w:style>
  <w:style w:type="paragraph" w:styleId="TDC5">
    <w:name w:val="toc 5"/>
    <w:basedOn w:val="Normal"/>
    <w:next w:val="Normal"/>
    <w:autoRedefine/>
    <w:uiPriority w:val="39"/>
    <w:unhideWhenUsed/>
    <w:rsid w:val="003B7CEC"/>
    <w:pPr>
      <w:spacing w:after="100" w:line="259" w:lineRule="auto"/>
      <w:ind w:left="880"/>
    </w:pPr>
    <w:rPr>
      <w:rFonts w:asciiTheme="minorHAnsi" w:eastAsiaTheme="minorEastAsia" w:hAnsiTheme="minorHAnsi" w:cstheme="minorBidi"/>
      <w:szCs w:val="22"/>
    </w:rPr>
  </w:style>
  <w:style w:type="paragraph" w:styleId="TDC6">
    <w:name w:val="toc 6"/>
    <w:basedOn w:val="Normal"/>
    <w:next w:val="Normal"/>
    <w:autoRedefine/>
    <w:uiPriority w:val="39"/>
    <w:unhideWhenUsed/>
    <w:rsid w:val="003B7CEC"/>
    <w:pPr>
      <w:spacing w:after="100" w:line="259" w:lineRule="auto"/>
      <w:ind w:left="1100"/>
    </w:pPr>
    <w:rPr>
      <w:rFonts w:asciiTheme="minorHAnsi" w:eastAsiaTheme="minorEastAsia" w:hAnsiTheme="minorHAnsi" w:cstheme="minorBidi"/>
      <w:szCs w:val="22"/>
    </w:rPr>
  </w:style>
  <w:style w:type="paragraph" w:styleId="TDC7">
    <w:name w:val="toc 7"/>
    <w:basedOn w:val="Normal"/>
    <w:next w:val="Normal"/>
    <w:autoRedefine/>
    <w:uiPriority w:val="39"/>
    <w:unhideWhenUsed/>
    <w:rsid w:val="003B7CEC"/>
    <w:pPr>
      <w:spacing w:after="100" w:line="259" w:lineRule="auto"/>
      <w:ind w:left="1320"/>
    </w:pPr>
    <w:rPr>
      <w:rFonts w:asciiTheme="minorHAnsi" w:eastAsiaTheme="minorEastAsia" w:hAnsiTheme="minorHAnsi" w:cstheme="minorBidi"/>
      <w:szCs w:val="22"/>
    </w:rPr>
  </w:style>
  <w:style w:type="paragraph" w:styleId="TDC8">
    <w:name w:val="toc 8"/>
    <w:basedOn w:val="Normal"/>
    <w:next w:val="Normal"/>
    <w:autoRedefine/>
    <w:uiPriority w:val="39"/>
    <w:unhideWhenUsed/>
    <w:rsid w:val="003B7CEC"/>
    <w:pPr>
      <w:spacing w:after="100" w:line="259" w:lineRule="auto"/>
      <w:ind w:left="1540"/>
    </w:pPr>
    <w:rPr>
      <w:rFonts w:asciiTheme="minorHAnsi" w:eastAsiaTheme="minorEastAsia" w:hAnsiTheme="minorHAnsi" w:cstheme="minorBidi"/>
      <w:szCs w:val="22"/>
    </w:rPr>
  </w:style>
  <w:style w:type="paragraph" w:styleId="TDC9">
    <w:name w:val="toc 9"/>
    <w:basedOn w:val="Normal"/>
    <w:next w:val="Normal"/>
    <w:autoRedefine/>
    <w:uiPriority w:val="39"/>
    <w:unhideWhenUsed/>
    <w:rsid w:val="003B7CEC"/>
    <w:pPr>
      <w:spacing w:after="100" w:line="259" w:lineRule="auto"/>
      <w:ind w:left="1760"/>
    </w:pPr>
    <w:rPr>
      <w:rFonts w:asciiTheme="minorHAnsi" w:eastAsiaTheme="minorEastAsia" w:hAnsiTheme="minorHAnsi" w:cstheme="minorBidi"/>
      <w:szCs w:val="22"/>
    </w:rPr>
  </w:style>
  <w:style w:type="paragraph" w:styleId="Textodebloque">
    <w:name w:val="Block Text"/>
    <w:basedOn w:val="Normal"/>
    <w:rsid w:val="007439C7"/>
    <w:pPr>
      <w:ind w:left="284" w:right="283"/>
      <w:jc w:val="both"/>
    </w:pPr>
    <w:rPr>
      <w:rFonts w:eastAsia="Times New Roman" w:cs="Times New Roman"/>
      <w:i/>
      <w:sz w:val="24"/>
    </w:rPr>
  </w:style>
  <w:style w:type="table" w:customStyle="1" w:styleId="Tablaconcuadrcula1">
    <w:name w:val="Tabla con cuadrícula1"/>
    <w:basedOn w:val="Tablanormal"/>
    <w:next w:val="Tablaconcuadrcula"/>
    <w:uiPriority w:val="59"/>
    <w:rsid w:val="00FA67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pPr>
      <w:jc w:val="center"/>
    </w:pPr>
    <w:tblPr>
      <w:tblStyleRowBandSize w:val="1"/>
      <w:tblStyleColBandSize w:val="1"/>
      <w:tblCellMar>
        <w:top w:w="0" w:type="dxa"/>
        <w:left w:w="115" w:type="dxa"/>
        <w:bottom w:w="0" w:type="dxa"/>
        <w:right w:w="115" w:type="dxa"/>
      </w:tblCellMar>
    </w:tblPr>
    <w:tcPr>
      <w:shd w:val="clear" w:color="auto" w:fill="F2F2F2"/>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es.wikipedia.org/wiki/Menopausia" TargetMode="External"/><Relationship Id="rId21" Type="http://schemas.openxmlformats.org/officeDocument/2006/relationships/hyperlink" Target="https://es.wikipedia.org/wiki/Bioqu%C3%ADmica" TargetMode="External"/><Relationship Id="rId42" Type="http://schemas.openxmlformats.org/officeDocument/2006/relationships/hyperlink" Target="https://es.wikipedia.org/wiki/Condroprotector" TargetMode="External"/><Relationship Id="rId47" Type="http://schemas.openxmlformats.org/officeDocument/2006/relationships/hyperlink" Target="https://es.wikipedia.org/wiki/Diacere%C3%ADna" TargetMode="External"/><Relationship Id="rId63" Type="http://schemas.openxmlformats.org/officeDocument/2006/relationships/hyperlink" Target="https://es.wikipedia.org/wiki/Masaje" TargetMode="External"/><Relationship Id="rId68" Type="http://schemas.openxmlformats.org/officeDocument/2006/relationships/hyperlink" Target="https://es.wikipedia.org/wiki/Tenotom%C3%ADa"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s.wikipedia.org/wiki/Rodilla" TargetMode="External"/><Relationship Id="rId29" Type="http://schemas.openxmlformats.org/officeDocument/2006/relationships/hyperlink" Target="https://es.wikipedia.org/wiki/Menopausia" TargetMode="External"/><Relationship Id="rId11" Type="http://schemas.openxmlformats.org/officeDocument/2006/relationships/hyperlink" Target="https://es.wikipedia.org/wiki/Fricci%C3%B3n" TargetMode="External"/><Relationship Id="rId24" Type="http://schemas.openxmlformats.org/officeDocument/2006/relationships/hyperlink" Target="https://es.wikipedia.org/w/index.php?title=Hueso_subcondral&amp;action=edit&amp;redlink=1" TargetMode="External"/><Relationship Id="rId32" Type="http://schemas.openxmlformats.org/officeDocument/2006/relationships/hyperlink" Target="https://es.wikipedia.org/wiki/Discapacidad" TargetMode="External"/><Relationship Id="rId37" Type="http://schemas.openxmlformats.org/officeDocument/2006/relationships/hyperlink" Target="https://es.wikipedia.org/w/index.php?title=Coxartrosis&amp;action=edit&amp;redlink=1" TargetMode="External"/><Relationship Id="rId40" Type="http://schemas.openxmlformats.org/officeDocument/2006/relationships/hyperlink" Target="https://es.wikipedia.org/wiki/S%C3%ADntoma" TargetMode="External"/><Relationship Id="rId45" Type="http://schemas.openxmlformats.org/officeDocument/2006/relationships/hyperlink" Target="https://es.wikipedia.org/wiki/Glucosamina" TargetMode="External"/><Relationship Id="rId53" Type="http://schemas.openxmlformats.org/officeDocument/2006/relationships/hyperlink" Target="https://es.wikipedia.org/wiki/Supinaci%C3%B3n" TargetMode="External"/><Relationship Id="rId58" Type="http://schemas.openxmlformats.org/officeDocument/2006/relationships/hyperlink" Target="https://es.wikipedia.org/wiki/Extensi%C3%B3n_(anatom%C3%ADa)" TargetMode="External"/><Relationship Id="rId66" Type="http://schemas.openxmlformats.org/officeDocument/2006/relationships/hyperlink" Target="https://es.wikipedia.org/wiki/Artroscopia" TargetMode="External"/><Relationship Id="rId5" Type="http://schemas.openxmlformats.org/officeDocument/2006/relationships/webSettings" Target="webSettings.xml"/><Relationship Id="rId61" Type="http://schemas.openxmlformats.org/officeDocument/2006/relationships/hyperlink" Target="https://es.wikipedia.org/wiki/Fisioterapia" TargetMode="External"/><Relationship Id="rId19" Type="http://schemas.openxmlformats.org/officeDocument/2006/relationships/hyperlink" Target="https://es.wikipedia.org/wiki/Colegio_Estadounidense_de_Reumatolog%C3%ADa" TargetMode="External"/><Relationship Id="rId14" Type="http://schemas.openxmlformats.org/officeDocument/2006/relationships/hyperlink" Target="https://es.wikipedia.org/wiki/T%C3%A9rminos_anat%C3%B3micos_de_localizaci%C3%B3n" TargetMode="External"/><Relationship Id="rId22" Type="http://schemas.openxmlformats.org/officeDocument/2006/relationships/hyperlink" Target="https://es.wikipedia.org/wiki/Biolog%C3%ADa_molecular" TargetMode="External"/><Relationship Id="rId27" Type="http://schemas.openxmlformats.org/officeDocument/2006/relationships/hyperlink" Target="https://es.wikipedia.org/wiki/Estr%C3%B3genos" TargetMode="External"/><Relationship Id="rId30" Type="http://schemas.openxmlformats.org/officeDocument/2006/relationships/hyperlink" Target="https://es.wikipedia.org/wiki/Menopausia" TargetMode="External"/><Relationship Id="rId35" Type="http://schemas.openxmlformats.org/officeDocument/2006/relationships/hyperlink" Target="https://es.wikipedia.org/wiki/Muslo" TargetMode="External"/><Relationship Id="rId43" Type="http://schemas.openxmlformats.org/officeDocument/2006/relationships/hyperlink" Target="https://es.wikipedia.org/wiki/Metan%C3%A1lisis" TargetMode="External"/><Relationship Id="rId48" Type="http://schemas.openxmlformats.org/officeDocument/2006/relationships/hyperlink" Target="https://es.wikipedia.org/wiki/%C3%81cido_hialur%C3%B3nico" TargetMode="External"/><Relationship Id="rId56" Type="http://schemas.openxmlformats.org/officeDocument/2006/relationships/hyperlink" Target="https://es.wikipedia.org/wiki/Epitrocleitis" TargetMode="External"/><Relationship Id="rId64" Type="http://schemas.openxmlformats.org/officeDocument/2006/relationships/hyperlink" Target="https://es.wikipedia.org/wiki/Infiltraci%C3%B3n_(t%C3%A9cnica)" TargetMode="External"/><Relationship Id="rId69" Type="http://schemas.openxmlformats.org/officeDocument/2006/relationships/header" Target="header1.xml"/><Relationship Id="rId8" Type="http://schemas.openxmlformats.org/officeDocument/2006/relationships/hyperlink" Target="https://es.wikipedia.org/wiki/Obesidad" TargetMode="External"/><Relationship Id="rId51" Type="http://schemas.openxmlformats.org/officeDocument/2006/relationships/hyperlink" Target="https://es.wikipedia.org/wiki/H%C3%BAmero"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es.wikipedia.org/wiki/Dolor" TargetMode="External"/><Relationship Id="rId17" Type="http://schemas.openxmlformats.org/officeDocument/2006/relationships/hyperlink" Target="https://es.wikipedia.org/wiki/Mano" TargetMode="External"/><Relationship Id="rId25" Type="http://schemas.openxmlformats.org/officeDocument/2006/relationships/hyperlink" Target="https://es.wikipedia.org/wiki/Estr%C3%B3genos" TargetMode="External"/><Relationship Id="rId33" Type="http://schemas.openxmlformats.org/officeDocument/2006/relationships/hyperlink" Target="https://es.wikipedia.org/wiki/Cadera" TargetMode="External"/><Relationship Id="rId38" Type="http://schemas.openxmlformats.org/officeDocument/2006/relationships/hyperlink" Target="https://es.wikipedia.org/wiki/Columna_vertebral" TargetMode="External"/><Relationship Id="rId46" Type="http://schemas.openxmlformats.org/officeDocument/2006/relationships/hyperlink" Target="https://es.wikipedia.org/wiki/Glucosamina" TargetMode="External"/><Relationship Id="rId59" Type="http://schemas.openxmlformats.org/officeDocument/2006/relationships/hyperlink" Target="https://es.wikipedia.org/wiki/Supinaci%C3%B3n" TargetMode="External"/><Relationship Id="rId67" Type="http://schemas.openxmlformats.org/officeDocument/2006/relationships/hyperlink" Target="https://es.wikipedia.org/wiki/Extensor_carpi_radialis_brevis" TargetMode="External"/><Relationship Id="rId20" Type="http://schemas.openxmlformats.org/officeDocument/2006/relationships/hyperlink" Target="https://es.wikipedia.org/wiki/Colegio_Estadounidense_de_Reumatolog%C3%ADa" TargetMode="External"/><Relationship Id="rId41" Type="http://schemas.openxmlformats.org/officeDocument/2006/relationships/hyperlink" Target="https://es.wikipedia.org/wiki/Analg%C3%A9sico" TargetMode="External"/><Relationship Id="rId54" Type="http://schemas.openxmlformats.org/officeDocument/2006/relationships/hyperlink" Target="https://es.wikipedia.org/wiki/M%C3%BAsculo_extensor_radial_corto_del_carpo" TargetMode="External"/><Relationship Id="rId62" Type="http://schemas.openxmlformats.org/officeDocument/2006/relationships/hyperlink" Target="https://es.wikipedia.org/wiki/Electroterapia"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s.wikipedia.org/wiki/Cadera" TargetMode="External"/><Relationship Id="rId23" Type="http://schemas.openxmlformats.org/officeDocument/2006/relationships/hyperlink" Target="https://es.wikipedia.org/wiki/Cart%C3%ADlago" TargetMode="External"/><Relationship Id="rId28" Type="http://schemas.openxmlformats.org/officeDocument/2006/relationships/hyperlink" Target="https://es.wikipedia.org/wiki/Menopausia" TargetMode="External"/><Relationship Id="rId36" Type="http://schemas.openxmlformats.org/officeDocument/2006/relationships/hyperlink" Target="https://es.wikipedia.org/wiki/Rodilla" TargetMode="External"/><Relationship Id="rId49" Type="http://schemas.openxmlformats.org/officeDocument/2006/relationships/hyperlink" Target="https://es.wikipedia.org/wiki/Epic%C3%B3ndilo" TargetMode="External"/><Relationship Id="rId57" Type="http://schemas.openxmlformats.org/officeDocument/2006/relationships/hyperlink" Target="https://es.wikipedia.org/wiki/Epicondilitis_medial" TargetMode="External"/><Relationship Id="rId10" Type="http://schemas.openxmlformats.org/officeDocument/2006/relationships/hyperlink" Target="https://es.wikipedia.org/wiki/Hueso" TargetMode="External"/><Relationship Id="rId31" Type="http://schemas.openxmlformats.org/officeDocument/2006/relationships/hyperlink" Target="https://es.wikipedia.org/wiki/N%C3%B3dulo_(medicina)" TargetMode="External"/><Relationship Id="rId44" Type="http://schemas.openxmlformats.org/officeDocument/2006/relationships/hyperlink" Target="https://es.wikipedia.org/wiki/Condroit%C3%ADn_sulfato" TargetMode="External"/><Relationship Id="rId52" Type="http://schemas.openxmlformats.org/officeDocument/2006/relationships/hyperlink" Target="https://es.wikipedia.org/wiki/Extensi%C3%B3n_(anatom%C3%ADa)" TargetMode="External"/><Relationship Id="rId60" Type="http://schemas.openxmlformats.org/officeDocument/2006/relationships/hyperlink" Target="https://es.wikipedia.org/wiki/Antiinflamatorios_no_esteroideos" TargetMode="External"/><Relationship Id="rId65" Type="http://schemas.openxmlformats.org/officeDocument/2006/relationships/hyperlink" Target="https://es.wikipedia.org/wiki/Corticoide" TargetMode="External"/><Relationship Id="rId4" Type="http://schemas.openxmlformats.org/officeDocument/2006/relationships/settings" Target="settings.xml"/><Relationship Id="rId9" Type="http://schemas.openxmlformats.org/officeDocument/2006/relationships/hyperlink" Target="https://es.wikipedia.org/wiki/%C3%8Dndice_de_masa_corporal" TargetMode="External"/><Relationship Id="rId13" Type="http://schemas.openxmlformats.org/officeDocument/2006/relationships/hyperlink" Target="https://es.wikipedia.org/wiki/Cuello" TargetMode="External"/><Relationship Id="rId18" Type="http://schemas.openxmlformats.org/officeDocument/2006/relationships/hyperlink" Target="https://es.wikipedia.org/wiki/Pie_(anatom%C3%ADa)" TargetMode="External"/><Relationship Id="rId39" Type="http://schemas.openxmlformats.org/officeDocument/2006/relationships/hyperlink" Target="https://es.wikipedia.org/wiki/Farmacol%C3%B3gico" TargetMode="External"/><Relationship Id="rId34" Type="http://schemas.openxmlformats.org/officeDocument/2006/relationships/hyperlink" Target="https://es.wikipedia.org/wiki/Ingle" TargetMode="External"/><Relationship Id="rId50" Type="http://schemas.openxmlformats.org/officeDocument/2006/relationships/hyperlink" Target="https://es.wikipedia.org/wiki/Ep%C3%ADfisis" TargetMode="External"/><Relationship Id="rId55" Type="http://schemas.openxmlformats.org/officeDocument/2006/relationships/hyperlink" Target="https://es.wikipedia.org/wiki/Supinaci%C3%B3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ijxjryWBzD6hSCM9R7psELqbNw==">CgMxLjAaJAoBMBIfCh0IB0IZCgVBcmlhbBIQQXJpYWwgVW5pY29kZSBNUzIIaC5namRneHMyCWguMzBqMHpsbDIJaC4xZm9iOXRlMgloLjN6bnlzaDcyCWguMmV0OTJwMDIIaC50eWpjd3QyCWguM2R5NnZrbTIJaC4xdDNoNXNmMgloLjRkMzRvZzgyCWguMnM4ZXlvMTIJaC4xN2RwOHZ1MgloLjNyZGNyam4yCWguMjZpbjFyZzIIaC5sbnhiejkyCWguMzVua3VuMjIJaC4xa3N2NHV2OAByITEzd0dPcklpZUZZRmw0bmtobmRKNHBFRGxUWHd5SHlG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4654</Words>
  <Characters>25603</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Jairo Rico Bolivar</dc:creator>
  <cp:lastModifiedBy>Jairo Rico Bolivar</cp:lastModifiedBy>
  <cp:revision>2</cp:revision>
  <dcterms:created xsi:type="dcterms:W3CDTF">2023-09-05T12:20:00Z</dcterms:created>
  <dcterms:modified xsi:type="dcterms:W3CDTF">2023-09-05T12:20:00Z</dcterms:modified>
</cp:coreProperties>
</file>