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165D6" w14:textId="77777777" w:rsidR="00B71D0A" w:rsidRPr="00B71D0A" w:rsidRDefault="00B71D0A" w:rsidP="00B71D0A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OBJETIVO. </w:t>
      </w:r>
      <w:r w:rsidRPr="00B71D0A">
        <w:rPr>
          <w:rFonts w:ascii="Arial" w:hAnsi="Arial" w:cs="Arial"/>
        </w:rPr>
        <w:t>Establecer los c</w:t>
      </w:r>
      <w:bookmarkStart w:id="0" w:name="_GoBack"/>
      <w:bookmarkEnd w:id="0"/>
      <w:r w:rsidRPr="00B71D0A">
        <w:rPr>
          <w:rFonts w:ascii="Arial" w:hAnsi="Arial" w:cs="Arial"/>
        </w:rPr>
        <w:t xml:space="preserve">riterios para llevar a cabo la gestión de cobro de los créditos de cartera al día y vencida en sus diferentes etapas. </w:t>
      </w:r>
    </w:p>
    <w:p w14:paraId="0D3C95EB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84FFD4F" w14:textId="77777777" w:rsidR="00B71D0A" w:rsidRPr="00B71D0A" w:rsidRDefault="00B71D0A" w:rsidP="00B71D0A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ALCANCE. </w:t>
      </w:r>
      <w:r w:rsidRPr="00B71D0A">
        <w:rPr>
          <w:rFonts w:ascii="Arial" w:hAnsi="Arial" w:cs="Arial"/>
        </w:rPr>
        <w:t>El presente procedimiento aplica para todas las actividades realizadas desde la activación de la obligación en Tesorería hasta la cancelación total del crédito.</w:t>
      </w:r>
    </w:p>
    <w:p w14:paraId="5FB5AE97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57F7D077" w14:textId="77777777" w:rsidR="00B71D0A" w:rsidRPr="00B71D0A" w:rsidRDefault="00B71D0A" w:rsidP="00B71D0A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RESPONSABLE. </w:t>
      </w:r>
      <w:r w:rsidRPr="00B71D0A">
        <w:rPr>
          <w:rFonts w:ascii="Arial" w:hAnsi="Arial" w:cs="Arial"/>
          <w:bCs/>
        </w:rPr>
        <w:t>Profesional Especializado grado 21 del Grupo de Gestión de Apoyo Financiero Crédito y Cartera.</w:t>
      </w:r>
    </w:p>
    <w:p w14:paraId="59053780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382F1446" w14:textId="77777777" w:rsidR="00B71D0A" w:rsidRPr="00B71D0A" w:rsidRDefault="00B71D0A" w:rsidP="00B71D0A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  <w:r w:rsidRPr="00B71D0A">
        <w:rPr>
          <w:rFonts w:ascii="Arial" w:hAnsi="Arial" w:cs="Arial"/>
          <w:b/>
          <w:bCs/>
        </w:rPr>
        <w:t>DEFINICIONES.</w:t>
      </w:r>
    </w:p>
    <w:p w14:paraId="0129950E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3347E279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Abonos. </w:t>
      </w:r>
      <w:r w:rsidRPr="00B71D0A">
        <w:rPr>
          <w:rFonts w:ascii="Arial" w:hAnsi="Arial" w:cs="Arial"/>
        </w:rPr>
        <w:t>Son aquellos pagos a capital e intereses que se efectúan para amortizar un crédito aprobado y girado.</w:t>
      </w:r>
    </w:p>
    <w:p w14:paraId="67C81220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016C36A0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Acuerdo de Pago. </w:t>
      </w:r>
      <w:r w:rsidRPr="00B71D0A">
        <w:rPr>
          <w:rFonts w:ascii="Arial" w:hAnsi="Arial" w:cs="Arial"/>
        </w:rPr>
        <w:t>Acuerdo de voluntades suscrito entre un deudor y el Fondo de Bienestar Social de la Contraloría General de la República a través del cual se consigna información de la obligación vencida, plan de pagos y el compromiso del deudor para normalizar el crédito.</w:t>
      </w:r>
    </w:p>
    <w:p w14:paraId="2F783D97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32DF9CCE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Amortización.</w:t>
      </w:r>
      <w:r w:rsidRPr="00B71D0A">
        <w:rPr>
          <w:rFonts w:ascii="Arial" w:hAnsi="Arial" w:cs="Arial"/>
        </w:rPr>
        <w:t xml:space="preserve"> Pago total o parcial de la deuda a través de abonos a capital e interés.</w:t>
      </w:r>
    </w:p>
    <w:p w14:paraId="478F4CBC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5F7FABD6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Cartera al día</w:t>
      </w:r>
      <w:r w:rsidRPr="00B71D0A">
        <w:rPr>
          <w:rFonts w:ascii="Arial" w:hAnsi="Arial" w:cs="Arial"/>
        </w:rPr>
        <w:t>: Es el conjunto de obligaciones a favor del Fondo de Bienestar Social de la Contraloría General de la República cuyos pagos se han efectuado oportunamente a la fecha de su vencimiento.</w:t>
      </w:r>
    </w:p>
    <w:p w14:paraId="3FF029AD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7B7BB221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Cartera vencida</w:t>
      </w:r>
      <w:r w:rsidRPr="00B71D0A">
        <w:rPr>
          <w:rFonts w:ascii="Arial" w:hAnsi="Arial" w:cs="Arial"/>
        </w:rPr>
        <w:t>: Es el conjunto de obligaciones a favor del Fondo de Bienestar Social de la Contraloría General cuyos pagos se han hecho exigibles y no han sido cancelados de manera oportuna.</w:t>
      </w:r>
    </w:p>
    <w:p w14:paraId="536D857D" w14:textId="77777777" w:rsidR="007A40E9" w:rsidRPr="00B71D0A" w:rsidRDefault="007A40E9" w:rsidP="007A40E9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2BA6DCA9" w14:textId="77777777" w:rsidR="007A40E9" w:rsidRPr="00B71D0A" w:rsidRDefault="007A40E9" w:rsidP="007A40E9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Certificaciones.</w:t>
      </w:r>
      <w:r w:rsidRPr="00B71D0A">
        <w:rPr>
          <w:rFonts w:ascii="Arial" w:hAnsi="Arial" w:cs="Arial"/>
        </w:rPr>
        <w:t xml:space="preserve"> Documento expedido que informa el estado de la obligación.</w:t>
      </w:r>
    </w:p>
    <w:p w14:paraId="34E9A0E6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01CE59B8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Cobro jurídico.</w:t>
      </w:r>
      <w:r w:rsidRPr="00B71D0A">
        <w:rPr>
          <w:rFonts w:ascii="Arial" w:hAnsi="Arial" w:cs="Arial"/>
        </w:rPr>
        <w:t xml:space="preserve"> Es el cobro que se realiza a los créditos con mora superior a 151 días, a través de procesos judiciales con el fin de obtener por este medio el pago de la obligación.</w:t>
      </w:r>
    </w:p>
    <w:p w14:paraId="6454AA3A" w14:textId="77777777" w:rsidR="007A40E9" w:rsidRPr="00B71D0A" w:rsidRDefault="007A40E9" w:rsidP="007A40E9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1F1370BB" w14:textId="77777777" w:rsidR="007A40E9" w:rsidRPr="00B71D0A" w:rsidRDefault="007A40E9" w:rsidP="007A40E9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Cobro Pre-jurídico.</w:t>
      </w:r>
      <w:r w:rsidRPr="00B71D0A">
        <w:rPr>
          <w:rFonts w:ascii="Arial" w:hAnsi="Arial" w:cs="Arial"/>
        </w:rPr>
        <w:t xml:space="preserve"> Gestión de cobro que tiene como fin normalizar las obligaciones que presentan vencimientos entre uno (1) y ciento cincuenta (150) días. Las actuaciones pretenden el acercamiento con el deudor, con el fin de procurar la normalización de la obligación de manera voluntaria o la celebración de un acuerdo de pago o renegociación antes de iniciar el proceso jurídico atendiendo la naturaleza de la obligación.</w:t>
      </w:r>
    </w:p>
    <w:p w14:paraId="47D87180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558724D9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Cuota. </w:t>
      </w:r>
      <w:r w:rsidRPr="00B71D0A">
        <w:rPr>
          <w:rFonts w:ascii="Arial" w:hAnsi="Arial" w:cs="Arial"/>
        </w:rPr>
        <w:t>Es el valor a pagar de manera regular a la fecha del vencimiento de la obligación por capital, intereses y cualquier otro concepto (seguros, administración).</w:t>
      </w:r>
    </w:p>
    <w:p w14:paraId="5FE67845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27A0E11C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  <w:b/>
        </w:rPr>
      </w:pPr>
      <w:r w:rsidRPr="00B71D0A">
        <w:rPr>
          <w:rFonts w:ascii="Arial" w:hAnsi="Arial" w:cs="Arial"/>
          <w:b/>
        </w:rPr>
        <w:t xml:space="preserve">Devolución. </w:t>
      </w:r>
      <w:r w:rsidRPr="00B71D0A">
        <w:rPr>
          <w:rFonts w:ascii="Arial" w:hAnsi="Arial" w:cs="Arial"/>
        </w:rPr>
        <w:t>Es el reintegro que se realiza a un deudor por un mayor valor pagado al crédito cuando se encuentre en estado terminado.</w:t>
      </w:r>
    </w:p>
    <w:p w14:paraId="61E8BFA5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390CF9EE" w14:textId="77777777" w:rsidR="00B71D0A" w:rsidRPr="00B71D0A" w:rsidRDefault="00B71D0A" w:rsidP="00B71D0A">
      <w:pPr>
        <w:numPr>
          <w:ilvl w:val="1"/>
          <w:numId w:val="3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Estados de cuenta</w:t>
      </w:r>
      <w:r w:rsidRPr="00B71D0A">
        <w:rPr>
          <w:rFonts w:ascii="Arial" w:hAnsi="Arial" w:cs="Arial"/>
        </w:rPr>
        <w:t>. Documento que informa de manera actualizada los registros y/o novedades históricas del crédito.</w:t>
      </w:r>
    </w:p>
    <w:p w14:paraId="41DCE2E6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51F95750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4.12.</w:t>
      </w:r>
      <w:r w:rsidRPr="00B71D0A">
        <w:rPr>
          <w:rFonts w:ascii="Arial" w:hAnsi="Arial" w:cs="Arial"/>
          <w:b/>
        </w:rPr>
        <w:tab/>
        <w:t>Interés Corriente.</w:t>
      </w:r>
      <w:r w:rsidRPr="00B71D0A">
        <w:rPr>
          <w:rFonts w:ascii="Arial" w:hAnsi="Arial" w:cs="Arial"/>
        </w:rPr>
        <w:t xml:space="preserve"> Tasa pactada en el contrato de mutuo</w:t>
      </w:r>
    </w:p>
    <w:p w14:paraId="65977605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7E979579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4.13.</w:t>
      </w:r>
      <w:r w:rsidRPr="00B71D0A">
        <w:rPr>
          <w:rFonts w:ascii="Arial" w:hAnsi="Arial" w:cs="Arial"/>
          <w:b/>
        </w:rPr>
        <w:tab/>
        <w:t>Interés Moratorio.</w:t>
      </w:r>
      <w:r w:rsidRPr="00B71D0A">
        <w:rPr>
          <w:rFonts w:ascii="Arial" w:hAnsi="Arial" w:cs="Arial"/>
        </w:rPr>
        <w:t xml:space="preserve"> Tasa fijada por la Superintendencia Financiera por la no cancelación de la cuota en las fechas oportunas de pago.</w:t>
      </w:r>
    </w:p>
    <w:p w14:paraId="184E463C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</w:rPr>
      </w:pPr>
    </w:p>
    <w:p w14:paraId="0DE92844" w14:textId="77777777" w:rsidR="00B71D0A" w:rsidRPr="00B71D0A" w:rsidRDefault="00B71D0A" w:rsidP="00B71D0A">
      <w:pPr>
        <w:numPr>
          <w:ilvl w:val="1"/>
          <w:numId w:val="4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IPC.</w:t>
      </w:r>
      <w:r w:rsidRPr="00B71D0A">
        <w:rPr>
          <w:rFonts w:ascii="Arial" w:hAnsi="Arial" w:cs="Arial"/>
        </w:rPr>
        <w:t xml:space="preserve"> Índice de Precios al Consumidor, regulado por el Gobierno Nacional al comienzo de cada año.</w:t>
      </w:r>
    </w:p>
    <w:p w14:paraId="44BA8295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42306BB7" w14:textId="77777777" w:rsidR="00B71D0A" w:rsidRPr="00B71D0A" w:rsidRDefault="00B71D0A" w:rsidP="00B71D0A">
      <w:pPr>
        <w:numPr>
          <w:ilvl w:val="1"/>
          <w:numId w:val="4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 xml:space="preserve">Paz Salvo. </w:t>
      </w:r>
      <w:r w:rsidRPr="00B71D0A">
        <w:rPr>
          <w:rFonts w:ascii="Arial" w:hAnsi="Arial" w:cs="Arial"/>
        </w:rPr>
        <w:t>Documento que informa que la obligación se encuentra cancelada en su totalidad.</w:t>
      </w:r>
    </w:p>
    <w:p w14:paraId="56A1204C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7E60F51F" w14:textId="77777777" w:rsidR="00B71D0A" w:rsidRPr="00B71D0A" w:rsidRDefault="00B71D0A" w:rsidP="00B71D0A">
      <w:pPr>
        <w:numPr>
          <w:ilvl w:val="1"/>
          <w:numId w:val="4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  <w:b/>
        </w:rPr>
      </w:pPr>
      <w:r w:rsidRPr="00B71D0A">
        <w:rPr>
          <w:rFonts w:ascii="Arial" w:hAnsi="Arial" w:cs="Arial"/>
          <w:b/>
        </w:rPr>
        <w:t xml:space="preserve">Periodo de Gracia. </w:t>
      </w:r>
      <w:r w:rsidRPr="00B71D0A">
        <w:rPr>
          <w:rFonts w:ascii="Arial" w:hAnsi="Arial" w:cs="Arial"/>
        </w:rPr>
        <w:t>Tiempo durante el cual se suspende el cobro de las cuotas correspondiente a la obligación contraída.</w:t>
      </w:r>
      <w:r w:rsidRPr="00B71D0A">
        <w:rPr>
          <w:rFonts w:ascii="Arial" w:hAnsi="Arial" w:cs="Arial"/>
          <w:b/>
        </w:rPr>
        <w:t xml:space="preserve"> </w:t>
      </w:r>
      <w:r w:rsidRPr="00B71D0A">
        <w:rPr>
          <w:rFonts w:ascii="Arial" w:hAnsi="Arial" w:cs="Arial"/>
        </w:rPr>
        <w:t>Los periodos de gracia se otorgarán únicamente cuando el deudor se encuentre al día en el cumplimiento de sus cuotas.</w:t>
      </w:r>
    </w:p>
    <w:p w14:paraId="68A8AD94" w14:textId="77777777" w:rsidR="00B71D0A" w:rsidRPr="00B71D0A" w:rsidRDefault="00B71D0A" w:rsidP="00B71D0A">
      <w:pPr>
        <w:spacing w:after="0" w:line="240" w:lineRule="auto"/>
        <w:ind w:left="142"/>
        <w:contextualSpacing/>
        <w:jc w:val="both"/>
        <w:rPr>
          <w:rFonts w:ascii="Arial" w:hAnsi="Arial" w:cs="Arial"/>
          <w:b/>
        </w:rPr>
      </w:pPr>
    </w:p>
    <w:p w14:paraId="2A1808C5" w14:textId="77777777" w:rsidR="00B71D0A" w:rsidRPr="00B71D0A" w:rsidRDefault="00B71D0A" w:rsidP="00B71D0A">
      <w:pPr>
        <w:numPr>
          <w:ilvl w:val="1"/>
          <w:numId w:val="4"/>
        </w:numPr>
        <w:spacing w:after="0" w:line="240" w:lineRule="auto"/>
        <w:ind w:left="142" w:firstLine="0"/>
        <w:contextualSpacing/>
        <w:jc w:val="both"/>
        <w:rPr>
          <w:rFonts w:ascii="Arial" w:hAnsi="Arial" w:cs="Arial"/>
        </w:rPr>
      </w:pPr>
      <w:r w:rsidRPr="00B71D0A">
        <w:rPr>
          <w:rFonts w:ascii="Arial" w:hAnsi="Arial" w:cs="Arial"/>
          <w:b/>
        </w:rPr>
        <w:t>Renegociación.</w:t>
      </w:r>
      <w:r w:rsidRPr="00B71D0A">
        <w:rPr>
          <w:rFonts w:ascii="Arial" w:hAnsi="Arial" w:cs="Arial"/>
        </w:rPr>
        <w:t xml:space="preserve"> Proceso de redefinición de las condiciones de los créditos de aquellos deudores que han visto afectada su capacidad de pago y el normal cumplimiento de su obligación. Aplica únicamente para los créditos bienestar integral, calamidad y vehículo.</w:t>
      </w:r>
    </w:p>
    <w:p w14:paraId="771526A9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01790AF9" w14:textId="77777777" w:rsidR="00B71D0A" w:rsidRPr="00B71D0A" w:rsidRDefault="00B71D0A" w:rsidP="00B71D0A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  <w:r w:rsidRPr="00B71D0A">
        <w:rPr>
          <w:rFonts w:ascii="Arial" w:hAnsi="Arial" w:cs="Arial"/>
          <w:b/>
          <w:bCs/>
        </w:rPr>
        <w:t>DOCUMENTOS DE REFERENCIA.</w:t>
      </w:r>
    </w:p>
    <w:p w14:paraId="1BA6A363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62D6D7E4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Instructivo de Cobro de Cartera I-M-2230-03</w:t>
      </w:r>
    </w:p>
    <w:p w14:paraId="1BA4C690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1B62436E" w14:textId="77777777" w:rsidR="00B71D0A" w:rsidRPr="00B71D0A" w:rsidRDefault="00B71D0A" w:rsidP="00B71D0A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  <w:r w:rsidRPr="00B71D0A">
        <w:rPr>
          <w:rFonts w:ascii="Arial" w:hAnsi="Arial" w:cs="Arial"/>
          <w:b/>
          <w:bCs/>
        </w:rPr>
        <w:t>DESARROLLO.</w:t>
      </w:r>
    </w:p>
    <w:p w14:paraId="23C18085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</w:p>
    <w:p w14:paraId="516C3293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  <w:r w:rsidRPr="00B71D0A">
        <w:rPr>
          <w:rFonts w:ascii="Arial" w:hAnsi="Arial" w:cs="Arial"/>
          <w:b/>
          <w:bCs/>
        </w:rPr>
        <w:t>6.1 ADMINISTRACIÓN DE LA CARTERA</w:t>
      </w:r>
    </w:p>
    <w:p w14:paraId="3EDD1D73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</w:p>
    <w:tbl>
      <w:tblPr>
        <w:tblW w:w="9498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827"/>
        <w:gridCol w:w="2268"/>
        <w:gridCol w:w="1701"/>
        <w:gridCol w:w="1134"/>
      </w:tblGrid>
      <w:tr w:rsidR="0057465B" w:rsidRPr="0057465B" w14:paraId="0347475E" w14:textId="77777777" w:rsidTr="0057465B">
        <w:trPr>
          <w:trHeight w:val="361"/>
          <w:tblHeader/>
        </w:trPr>
        <w:tc>
          <w:tcPr>
            <w:tcW w:w="568" w:type="dxa"/>
            <w:vAlign w:val="center"/>
          </w:tcPr>
          <w:p w14:paraId="43BF9BC5" w14:textId="77777777" w:rsidR="00B71D0A" w:rsidRPr="0057465B" w:rsidRDefault="00B71D0A" w:rsidP="0057465B">
            <w:pPr>
              <w:spacing w:after="0" w:line="240" w:lineRule="auto"/>
              <w:ind w:left="38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No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827" w:type="dxa"/>
            <w:vAlign w:val="center"/>
          </w:tcPr>
          <w:p w14:paraId="28C7A9FD" w14:textId="77777777" w:rsidR="00B71D0A" w:rsidRPr="0057465B" w:rsidRDefault="00B71D0A" w:rsidP="0057465B">
            <w:pPr>
              <w:spacing w:after="0" w:line="240" w:lineRule="auto"/>
              <w:ind w:left="3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2268" w:type="dxa"/>
            <w:vAlign w:val="center"/>
          </w:tcPr>
          <w:p w14:paraId="0ED10516" w14:textId="77777777" w:rsidR="00B71D0A" w:rsidRPr="0057465B" w:rsidRDefault="00B71D0A" w:rsidP="0057465B">
            <w:pPr>
              <w:spacing w:after="0" w:line="240" w:lineRule="auto"/>
              <w:ind w:left="3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701" w:type="dxa"/>
            <w:vAlign w:val="center"/>
          </w:tcPr>
          <w:p w14:paraId="03BCDCFC" w14:textId="77777777" w:rsidR="00B71D0A" w:rsidRPr="0057465B" w:rsidRDefault="00B71D0A" w:rsidP="0057465B">
            <w:pPr>
              <w:spacing w:after="0" w:line="240" w:lineRule="auto"/>
              <w:ind w:left="3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</w:p>
          <w:p w14:paraId="7F7667AA" w14:textId="77777777" w:rsidR="00B71D0A" w:rsidRPr="0057465B" w:rsidRDefault="00B71D0A" w:rsidP="0057465B">
            <w:pPr>
              <w:spacing w:after="0" w:line="240" w:lineRule="auto"/>
              <w:ind w:left="3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1134" w:type="dxa"/>
            <w:vAlign w:val="center"/>
          </w:tcPr>
          <w:p w14:paraId="7C73E6D4" w14:textId="77777777" w:rsidR="00B71D0A" w:rsidRPr="0057465B" w:rsidRDefault="00B71D0A" w:rsidP="0057465B">
            <w:pPr>
              <w:spacing w:after="0" w:line="240" w:lineRule="auto"/>
              <w:ind w:left="3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Punto de</w:t>
            </w:r>
          </w:p>
          <w:p w14:paraId="056B5FCF" w14:textId="77777777" w:rsidR="00B71D0A" w:rsidRPr="0057465B" w:rsidRDefault="00B71D0A" w:rsidP="0057465B">
            <w:pPr>
              <w:spacing w:after="0" w:line="240" w:lineRule="auto"/>
              <w:ind w:left="3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57465B" w:rsidRPr="0057465B" w14:paraId="759488F6" w14:textId="77777777" w:rsidTr="0057465B">
        <w:trPr>
          <w:trHeight w:val="847"/>
        </w:trPr>
        <w:tc>
          <w:tcPr>
            <w:tcW w:w="568" w:type="dxa"/>
            <w:vAlign w:val="center"/>
          </w:tcPr>
          <w:p w14:paraId="60899958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27" w:type="dxa"/>
            <w:vAlign w:val="center"/>
          </w:tcPr>
          <w:p w14:paraId="19CCA7A8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Verificar que el aplicativo misional de crédito y cartera de la entidad y el reporte de créditos en estado activos coincidan con los créditos girados y reportados por el grupo de tesorería </w:t>
            </w:r>
          </w:p>
        </w:tc>
        <w:tc>
          <w:tcPr>
            <w:tcW w:w="2268" w:type="dxa"/>
            <w:vAlign w:val="center"/>
          </w:tcPr>
          <w:p w14:paraId="5B48849D" w14:textId="77777777" w:rsidR="0057465B" w:rsidRPr="00FA3766" w:rsidRDefault="0057465B" w:rsidP="0057465B">
            <w:pPr>
              <w:pStyle w:val="TableParagraph"/>
              <w:ind w:right="433"/>
              <w:rPr>
                <w:sz w:val="18"/>
              </w:rPr>
            </w:pPr>
            <w:r w:rsidRPr="00FA3766">
              <w:rPr>
                <w:sz w:val="18"/>
              </w:rPr>
              <w:t>Técnico Administrativo</w:t>
            </w:r>
          </w:p>
          <w:p w14:paraId="081457CD" w14:textId="4BCD76B0" w:rsidR="0057465B" w:rsidRPr="00FA3766" w:rsidRDefault="007A40E9" w:rsidP="0057465B">
            <w:pPr>
              <w:pStyle w:val="TableParagraph"/>
              <w:ind w:right="433"/>
              <w:rPr>
                <w:sz w:val="18"/>
              </w:rPr>
            </w:pPr>
            <w:r>
              <w:rPr>
                <w:sz w:val="18"/>
              </w:rPr>
              <w:t>área de cartera</w:t>
            </w:r>
            <w:r w:rsidR="0057465B" w:rsidRPr="00FA3766">
              <w:rPr>
                <w:sz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0F790202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Reportes SIIF y TAO</w:t>
            </w:r>
          </w:p>
          <w:p w14:paraId="304EB27C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221BE2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1956DDC0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E5739BB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827" w:type="dxa"/>
            <w:vAlign w:val="center"/>
          </w:tcPr>
          <w:p w14:paraId="534E9838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Remitir a la dirección de Talento Humano, Tesorería de la CGR y al Grupo de Talento Humano del FBSCGR la relación de novedades para activación y/o actualización de los descuentos por nómina.</w:t>
            </w:r>
          </w:p>
        </w:tc>
        <w:tc>
          <w:tcPr>
            <w:tcW w:w="2268" w:type="dxa"/>
            <w:vAlign w:val="center"/>
          </w:tcPr>
          <w:p w14:paraId="09327BA8" w14:textId="244F17DA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Profesional Universitario 09 - Técnico Administrativo </w:t>
            </w:r>
            <w:r w:rsidR="007A40E9">
              <w:rPr>
                <w:sz w:val="18"/>
                <w:szCs w:val="18"/>
              </w:rPr>
              <w:t>área de cartera</w:t>
            </w:r>
            <w:r w:rsidRPr="00FA3766">
              <w:rPr>
                <w:sz w:val="18"/>
                <w:szCs w:val="18"/>
              </w:rPr>
              <w:t>.</w:t>
            </w:r>
          </w:p>
          <w:p w14:paraId="70BE914D" w14:textId="77777777" w:rsidR="0057465B" w:rsidRPr="00FA3766" w:rsidRDefault="0057465B" w:rsidP="0057465B">
            <w:pPr>
              <w:pStyle w:val="TableParagraph"/>
              <w:ind w:right="433"/>
              <w:rPr>
                <w:sz w:val="18"/>
              </w:rPr>
            </w:pPr>
          </w:p>
        </w:tc>
        <w:tc>
          <w:tcPr>
            <w:tcW w:w="1701" w:type="dxa"/>
            <w:vAlign w:val="center"/>
          </w:tcPr>
          <w:p w14:paraId="59D93CCB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Reporte novedades Correo electrónico</w:t>
            </w:r>
          </w:p>
        </w:tc>
        <w:tc>
          <w:tcPr>
            <w:tcW w:w="1134" w:type="dxa"/>
            <w:vAlign w:val="center"/>
          </w:tcPr>
          <w:p w14:paraId="7DFE2177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21FCA239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3485CA9E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827" w:type="dxa"/>
            <w:vAlign w:val="center"/>
          </w:tcPr>
          <w:p w14:paraId="0BBAEE43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Cargar al aplicativo los pagos por todo concepto (Cesantías, pagos nóminas y recaudos por transferencias electrónicas y caja) conforme a los reportes enviados por tesorería del FBS </w:t>
            </w:r>
          </w:p>
        </w:tc>
        <w:tc>
          <w:tcPr>
            <w:tcW w:w="2268" w:type="dxa"/>
            <w:vAlign w:val="center"/>
          </w:tcPr>
          <w:p w14:paraId="1D53322B" w14:textId="0952DED7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1BB86D72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 de recaudos</w:t>
            </w:r>
          </w:p>
        </w:tc>
        <w:tc>
          <w:tcPr>
            <w:tcW w:w="1134" w:type="dxa"/>
            <w:vAlign w:val="center"/>
          </w:tcPr>
          <w:p w14:paraId="0D4B6F61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715A2744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73E83135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827" w:type="dxa"/>
            <w:vAlign w:val="center"/>
          </w:tcPr>
          <w:p w14:paraId="2DB4A98D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Revisar, verificar y amortizar los créditos de acuerdo a la aplicación de recaudos.</w:t>
            </w:r>
          </w:p>
        </w:tc>
        <w:tc>
          <w:tcPr>
            <w:tcW w:w="2268" w:type="dxa"/>
            <w:vAlign w:val="center"/>
          </w:tcPr>
          <w:p w14:paraId="06D96443" w14:textId="4B3B8D03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Profesional Universitario 09 - Técnico Administrativo </w:t>
            </w:r>
            <w:r w:rsidR="007A40E9">
              <w:rPr>
                <w:sz w:val="18"/>
                <w:szCs w:val="18"/>
              </w:rPr>
              <w:t>área de cartera</w:t>
            </w:r>
            <w:r w:rsidRPr="00FA3766">
              <w:rPr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5CE8103E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Estados de cuenta</w:t>
            </w:r>
          </w:p>
        </w:tc>
        <w:tc>
          <w:tcPr>
            <w:tcW w:w="1134" w:type="dxa"/>
            <w:vAlign w:val="center"/>
          </w:tcPr>
          <w:p w14:paraId="4DC3F350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32B14E7B" w14:textId="77777777" w:rsidTr="0057465B">
        <w:trPr>
          <w:trHeight w:val="809"/>
        </w:trPr>
        <w:tc>
          <w:tcPr>
            <w:tcW w:w="568" w:type="dxa"/>
            <w:vAlign w:val="center"/>
          </w:tcPr>
          <w:p w14:paraId="2AA1486D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lastRenderedPageBreak/>
              <w:t>5</w:t>
            </w:r>
          </w:p>
        </w:tc>
        <w:tc>
          <w:tcPr>
            <w:tcW w:w="3827" w:type="dxa"/>
            <w:vAlign w:val="center"/>
          </w:tcPr>
          <w:p w14:paraId="086446A8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Registrar y actualizar las novedades de planta del CGR y FBSCGR en el aplicativo de crédito y cartera del FBS</w:t>
            </w:r>
          </w:p>
        </w:tc>
        <w:tc>
          <w:tcPr>
            <w:tcW w:w="2268" w:type="dxa"/>
            <w:vAlign w:val="center"/>
          </w:tcPr>
          <w:p w14:paraId="09F75255" w14:textId="469D7AB1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701E3C4D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TAO</w:t>
            </w:r>
          </w:p>
        </w:tc>
        <w:tc>
          <w:tcPr>
            <w:tcW w:w="1134" w:type="dxa"/>
            <w:vAlign w:val="center"/>
          </w:tcPr>
          <w:p w14:paraId="52FC435E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7B49095C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71C9CA6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827" w:type="dxa"/>
            <w:vAlign w:val="center"/>
          </w:tcPr>
          <w:p w14:paraId="7FB26F95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Notificar al deudor, en caso de novedades de personal, las nuevas condiciones para el pago de la cuota.</w:t>
            </w:r>
          </w:p>
        </w:tc>
        <w:tc>
          <w:tcPr>
            <w:tcW w:w="2268" w:type="dxa"/>
            <w:vAlign w:val="center"/>
          </w:tcPr>
          <w:p w14:paraId="7B6F9AD1" w14:textId="2278A089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Profesional especializado grado 21 - 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03932F27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Correo electrónico</w:t>
            </w:r>
          </w:p>
          <w:p w14:paraId="40849BF2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 de novedades.</w:t>
            </w:r>
          </w:p>
        </w:tc>
        <w:tc>
          <w:tcPr>
            <w:tcW w:w="1134" w:type="dxa"/>
            <w:vAlign w:val="center"/>
          </w:tcPr>
          <w:p w14:paraId="3A5F7645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6C000220" w14:textId="77777777" w:rsidTr="0057465B">
        <w:trPr>
          <w:trHeight w:val="783"/>
        </w:trPr>
        <w:tc>
          <w:tcPr>
            <w:tcW w:w="568" w:type="dxa"/>
            <w:vAlign w:val="center"/>
          </w:tcPr>
          <w:p w14:paraId="3BF8F586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827" w:type="dxa"/>
            <w:vAlign w:val="center"/>
          </w:tcPr>
          <w:p w14:paraId="58EFED1F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Elaborar y generar información del abono de cesantías, saldo y cuotas pagas.</w:t>
            </w:r>
          </w:p>
        </w:tc>
        <w:tc>
          <w:tcPr>
            <w:tcW w:w="2268" w:type="dxa"/>
            <w:vAlign w:val="center"/>
          </w:tcPr>
          <w:p w14:paraId="07689721" w14:textId="6455CAD5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527A90CC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 por.</w:t>
            </w:r>
          </w:p>
          <w:p w14:paraId="4311CAB6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Correo electrónico</w:t>
            </w:r>
          </w:p>
        </w:tc>
        <w:tc>
          <w:tcPr>
            <w:tcW w:w="1134" w:type="dxa"/>
            <w:vAlign w:val="center"/>
          </w:tcPr>
          <w:p w14:paraId="1C9A7179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170BC0CA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75E774A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827" w:type="dxa"/>
            <w:vAlign w:val="center"/>
          </w:tcPr>
          <w:p w14:paraId="5E1340DA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Realizar y dar respuesta a los ajustes solicitados por los funcionarios, según se aplique a cada caso.</w:t>
            </w:r>
          </w:p>
          <w:p w14:paraId="23ABC569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FC11B4C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Nota: en caso de que la solicitud afecte el valor de la cuota, se deberá solicitar el nivel de endeudamiento y radicarla a través de los canales dispuestos para tal fin</w:t>
            </w:r>
          </w:p>
        </w:tc>
        <w:tc>
          <w:tcPr>
            <w:tcW w:w="2268" w:type="dxa"/>
            <w:vAlign w:val="center"/>
          </w:tcPr>
          <w:p w14:paraId="7E40F764" w14:textId="4A5336A7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1D5FADCB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 por.</w:t>
            </w:r>
          </w:p>
          <w:p w14:paraId="7A9AFEF6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Correo electrónico</w:t>
            </w:r>
          </w:p>
        </w:tc>
        <w:tc>
          <w:tcPr>
            <w:tcW w:w="1134" w:type="dxa"/>
            <w:vAlign w:val="center"/>
          </w:tcPr>
          <w:p w14:paraId="273428BE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0E6AC214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38EFCEF7" w14:textId="77777777" w:rsidR="0057465B" w:rsidRPr="0057465B" w:rsidRDefault="0057465B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827" w:type="dxa"/>
            <w:vAlign w:val="center"/>
          </w:tcPr>
          <w:p w14:paraId="62E39B71" w14:textId="77777777" w:rsidR="0057465B" w:rsidRPr="0057465B" w:rsidRDefault="0057465B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Verificar y revisar los estados de cuenta de los créditos en estado TERMINADO y comunicar al deudor sobre los trámites de certificaciones, paz y salvos, reintegros de mayores valores pagados de los créditos o cancelaciones de hipoteca y levantamientos de prenda.</w:t>
            </w:r>
          </w:p>
        </w:tc>
        <w:tc>
          <w:tcPr>
            <w:tcW w:w="2268" w:type="dxa"/>
            <w:vAlign w:val="center"/>
          </w:tcPr>
          <w:p w14:paraId="50CF235A" w14:textId="7564865F" w:rsidR="0057465B" w:rsidRPr="00FA3766" w:rsidRDefault="0057465B" w:rsidP="0057465B">
            <w:pPr>
              <w:pStyle w:val="TableParagraph"/>
              <w:ind w:right="383"/>
              <w:rPr>
                <w:sz w:val="18"/>
                <w:szCs w:val="18"/>
              </w:rPr>
            </w:pPr>
            <w:r w:rsidRPr="00FA3766">
              <w:rPr>
                <w:sz w:val="18"/>
                <w:szCs w:val="18"/>
              </w:rPr>
              <w:t xml:space="preserve">Técnico Administrativo </w:t>
            </w:r>
            <w:r w:rsidR="007A40E9">
              <w:rPr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358C23B7" w14:textId="77777777" w:rsidR="0057465B" w:rsidRPr="0057465B" w:rsidRDefault="0057465B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Correo electrónico</w:t>
            </w:r>
          </w:p>
        </w:tc>
        <w:tc>
          <w:tcPr>
            <w:tcW w:w="1134" w:type="dxa"/>
            <w:vAlign w:val="center"/>
          </w:tcPr>
          <w:p w14:paraId="5C42EC29" w14:textId="77777777" w:rsidR="0057465B" w:rsidRPr="0057465B" w:rsidRDefault="0057465B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12F11D0D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30A4434C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827" w:type="dxa"/>
            <w:vAlign w:val="center"/>
          </w:tcPr>
          <w:p w14:paraId="28B67FC5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Elaborar y remitir a Tesorería comunicaciones de reintegro de mayores valores pagados al crédito. Comunicar al usuario del trámite</w:t>
            </w:r>
          </w:p>
        </w:tc>
        <w:tc>
          <w:tcPr>
            <w:tcW w:w="2268" w:type="dxa"/>
            <w:vAlign w:val="center"/>
          </w:tcPr>
          <w:p w14:paraId="7C507524" w14:textId="2C83E552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Profesional Especializado Crédito y Cartera</w:t>
            </w:r>
            <w:r w:rsidR="007A40E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7465B">
              <w:rPr>
                <w:rFonts w:ascii="Arial" w:hAnsi="Arial" w:cs="Arial"/>
                <w:sz w:val="18"/>
                <w:szCs w:val="18"/>
              </w:rPr>
              <w:t xml:space="preserve">- </w:t>
            </w:r>
          </w:p>
          <w:p w14:paraId="35AAD858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Técnico Administrativo</w:t>
            </w:r>
          </w:p>
        </w:tc>
        <w:tc>
          <w:tcPr>
            <w:tcW w:w="1701" w:type="dxa"/>
            <w:vAlign w:val="center"/>
          </w:tcPr>
          <w:p w14:paraId="763A81F4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F-M-2230-15</w:t>
            </w:r>
          </w:p>
          <w:p w14:paraId="3D98739D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1134" w:type="dxa"/>
            <w:vAlign w:val="center"/>
          </w:tcPr>
          <w:p w14:paraId="1C981F2F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739F37B3" w14:textId="77777777" w:rsidTr="0057465B">
        <w:trPr>
          <w:trHeight w:val="639"/>
        </w:trPr>
        <w:tc>
          <w:tcPr>
            <w:tcW w:w="568" w:type="dxa"/>
            <w:vAlign w:val="center"/>
          </w:tcPr>
          <w:p w14:paraId="46F4406F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827" w:type="dxa"/>
            <w:vAlign w:val="center"/>
          </w:tcPr>
          <w:p w14:paraId="2358AB75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Realizar conciliación con Tesorería sobre los recaudos del mes para cierre de cartera</w:t>
            </w:r>
          </w:p>
        </w:tc>
        <w:tc>
          <w:tcPr>
            <w:tcW w:w="2268" w:type="dxa"/>
            <w:vAlign w:val="center"/>
          </w:tcPr>
          <w:p w14:paraId="1BB665C6" w14:textId="5B01498A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Técnico Administrativo </w:t>
            </w:r>
            <w:r w:rsidR="007A40E9">
              <w:rPr>
                <w:rFonts w:ascii="Arial" w:hAnsi="Arial" w:cs="Arial"/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3F6B0E3C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 de recaudo</w:t>
            </w:r>
          </w:p>
        </w:tc>
        <w:tc>
          <w:tcPr>
            <w:tcW w:w="1134" w:type="dxa"/>
            <w:vAlign w:val="center"/>
          </w:tcPr>
          <w:p w14:paraId="090DDB35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367AA510" w14:textId="77777777" w:rsidTr="0057465B">
        <w:trPr>
          <w:trHeight w:val="846"/>
        </w:trPr>
        <w:tc>
          <w:tcPr>
            <w:tcW w:w="568" w:type="dxa"/>
            <w:vAlign w:val="center"/>
          </w:tcPr>
          <w:p w14:paraId="3E28B7C0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827" w:type="dxa"/>
            <w:vAlign w:val="center"/>
          </w:tcPr>
          <w:p w14:paraId="3B1E25FB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Realizar cierre período cartera</w:t>
            </w:r>
          </w:p>
        </w:tc>
        <w:tc>
          <w:tcPr>
            <w:tcW w:w="2268" w:type="dxa"/>
            <w:vAlign w:val="center"/>
          </w:tcPr>
          <w:p w14:paraId="0EA3D0E0" w14:textId="5B6F094D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Universitario y Técnico Administrativo </w:t>
            </w:r>
            <w:r w:rsidR="007A40E9">
              <w:rPr>
                <w:rFonts w:ascii="Arial" w:hAnsi="Arial" w:cs="Arial"/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3D90C7D0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TAO</w:t>
            </w:r>
          </w:p>
        </w:tc>
        <w:tc>
          <w:tcPr>
            <w:tcW w:w="1134" w:type="dxa"/>
            <w:vAlign w:val="center"/>
          </w:tcPr>
          <w:p w14:paraId="764E575E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78C4A39B" w14:textId="77777777" w:rsidTr="0057465B">
        <w:trPr>
          <w:trHeight w:val="987"/>
        </w:trPr>
        <w:tc>
          <w:tcPr>
            <w:tcW w:w="568" w:type="dxa"/>
            <w:vAlign w:val="center"/>
          </w:tcPr>
          <w:p w14:paraId="1A1B30A7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827" w:type="dxa"/>
            <w:vAlign w:val="center"/>
          </w:tcPr>
          <w:p w14:paraId="20264858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Generar reporte de clasificación de cartera, informe del estado actual de la cartera, cartera morosa, e informe descuentos de nómina.</w:t>
            </w:r>
          </w:p>
        </w:tc>
        <w:tc>
          <w:tcPr>
            <w:tcW w:w="2268" w:type="dxa"/>
            <w:vAlign w:val="center"/>
          </w:tcPr>
          <w:p w14:paraId="77B20AFE" w14:textId="4DC4A4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Universitario grado 09 </w:t>
            </w:r>
            <w:r w:rsidR="007A40E9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</w:p>
        </w:tc>
        <w:tc>
          <w:tcPr>
            <w:tcW w:w="1701" w:type="dxa"/>
            <w:vAlign w:val="center"/>
          </w:tcPr>
          <w:p w14:paraId="045CA6DE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Informes</w:t>
            </w:r>
          </w:p>
        </w:tc>
        <w:tc>
          <w:tcPr>
            <w:tcW w:w="1134" w:type="dxa"/>
            <w:vAlign w:val="center"/>
          </w:tcPr>
          <w:p w14:paraId="717A3809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192B802E" w14:textId="77777777" w:rsidTr="0057465B">
        <w:trPr>
          <w:trHeight w:val="831"/>
        </w:trPr>
        <w:tc>
          <w:tcPr>
            <w:tcW w:w="568" w:type="dxa"/>
            <w:vAlign w:val="center"/>
          </w:tcPr>
          <w:p w14:paraId="2AC578B5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</w:p>
          <w:p w14:paraId="74B473EB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827" w:type="dxa"/>
            <w:vAlign w:val="center"/>
          </w:tcPr>
          <w:p w14:paraId="49CFF91A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Realizar verificación mensual con Contabilidad de los saldos de la cartera de crédito y colegio</w:t>
            </w:r>
          </w:p>
        </w:tc>
        <w:tc>
          <w:tcPr>
            <w:tcW w:w="2268" w:type="dxa"/>
            <w:vAlign w:val="center"/>
          </w:tcPr>
          <w:p w14:paraId="4A9448AA" w14:textId="0BE64CBD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Universitario grado 09 </w:t>
            </w:r>
            <w:r w:rsidR="007A40E9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</w:p>
        </w:tc>
        <w:tc>
          <w:tcPr>
            <w:tcW w:w="1701" w:type="dxa"/>
            <w:vAlign w:val="center"/>
          </w:tcPr>
          <w:p w14:paraId="35B48304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Conciliación</w:t>
            </w:r>
          </w:p>
        </w:tc>
        <w:tc>
          <w:tcPr>
            <w:tcW w:w="1134" w:type="dxa"/>
            <w:vAlign w:val="center"/>
          </w:tcPr>
          <w:p w14:paraId="69130173" w14:textId="77777777" w:rsidR="00B71D0A" w:rsidRPr="0057465B" w:rsidRDefault="007A40E9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67F375A1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34E131AA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827" w:type="dxa"/>
            <w:vAlign w:val="center"/>
          </w:tcPr>
          <w:p w14:paraId="3E3B0F24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Generar y revisar el informe de los créditos activos y las novedades del mes y remitirlo a la compañía de seguros.</w:t>
            </w:r>
          </w:p>
        </w:tc>
        <w:tc>
          <w:tcPr>
            <w:tcW w:w="2268" w:type="dxa"/>
            <w:vAlign w:val="center"/>
          </w:tcPr>
          <w:p w14:paraId="7AC09D62" w14:textId="1D1AAA88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Profesional Especializado grado 21 - Profesional Universitario grado 09 –</w:t>
            </w:r>
            <w:r w:rsidR="007A40E9">
              <w:rPr>
                <w:rFonts w:ascii="Arial" w:hAnsi="Arial" w:cs="Arial"/>
                <w:sz w:val="18"/>
                <w:szCs w:val="18"/>
              </w:rPr>
              <w:t>área de cartera</w:t>
            </w:r>
          </w:p>
        </w:tc>
        <w:tc>
          <w:tcPr>
            <w:tcW w:w="1701" w:type="dxa"/>
            <w:vAlign w:val="center"/>
          </w:tcPr>
          <w:p w14:paraId="4A62B97A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Comunicación </w:t>
            </w:r>
          </w:p>
        </w:tc>
        <w:tc>
          <w:tcPr>
            <w:tcW w:w="1134" w:type="dxa"/>
            <w:vAlign w:val="center"/>
          </w:tcPr>
          <w:p w14:paraId="48726758" w14:textId="77777777" w:rsidR="00B71D0A" w:rsidRPr="0057465B" w:rsidRDefault="007A40E9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4D61DE98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01F49974" w14:textId="77777777" w:rsidR="00B71D0A" w:rsidRPr="007A40E9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6573BA">
              <w:rPr>
                <w:rFonts w:ascii="Arial" w:hAnsi="Arial" w:cs="Arial"/>
                <w:sz w:val="18"/>
                <w:szCs w:val="18"/>
              </w:rPr>
              <w:lastRenderedPageBreak/>
              <w:t>16</w:t>
            </w:r>
          </w:p>
        </w:tc>
        <w:tc>
          <w:tcPr>
            <w:tcW w:w="3827" w:type="dxa"/>
            <w:vAlign w:val="center"/>
          </w:tcPr>
          <w:p w14:paraId="1FAFA333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Solicitar al Administrador del Sistema de Crédito y Cartera durante los 15 primeros días de año, se actualice el IPC atendiendo lo establecido en el Manual de Crédito y Cartera vigente.</w:t>
            </w:r>
          </w:p>
        </w:tc>
        <w:tc>
          <w:tcPr>
            <w:tcW w:w="2268" w:type="dxa"/>
            <w:vAlign w:val="center"/>
          </w:tcPr>
          <w:p w14:paraId="3014ADE1" w14:textId="230CDBE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C151D8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245F4CC2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1134" w:type="dxa"/>
            <w:vAlign w:val="center"/>
          </w:tcPr>
          <w:p w14:paraId="771074E8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3166AAE0" w14:textId="77777777" w:rsidTr="0057465B">
        <w:trPr>
          <w:trHeight w:val="882"/>
        </w:trPr>
        <w:tc>
          <w:tcPr>
            <w:tcW w:w="568" w:type="dxa"/>
            <w:vAlign w:val="center"/>
          </w:tcPr>
          <w:p w14:paraId="3EA53FDD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b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827" w:type="dxa"/>
            <w:vAlign w:val="center"/>
          </w:tcPr>
          <w:p w14:paraId="648FE889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Actualizar en el aplicativo de cartera la tasa de interés de mora de acuerdo con las directrices de la Superintendencia Financiera.</w:t>
            </w:r>
          </w:p>
        </w:tc>
        <w:tc>
          <w:tcPr>
            <w:tcW w:w="2268" w:type="dxa"/>
            <w:vAlign w:val="center"/>
          </w:tcPr>
          <w:p w14:paraId="7FD8B525" w14:textId="3F5D051C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37AA436E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E99786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0C8AC710" w14:textId="77777777" w:rsidTr="0057465B">
        <w:trPr>
          <w:trHeight w:val="696"/>
        </w:trPr>
        <w:tc>
          <w:tcPr>
            <w:tcW w:w="568" w:type="dxa"/>
            <w:vAlign w:val="center"/>
          </w:tcPr>
          <w:p w14:paraId="4AB619E2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827" w:type="dxa"/>
            <w:vAlign w:val="center"/>
          </w:tcPr>
          <w:p w14:paraId="470BCA05" w14:textId="26C21F5D" w:rsidR="00B71D0A" w:rsidRPr="0057465B" w:rsidRDefault="00B71D0A" w:rsidP="006573BA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Informar</w:t>
            </w:r>
            <w:r w:rsidR="006573BA">
              <w:rPr>
                <w:rFonts w:ascii="Arial" w:hAnsi="Arial" w:cs="Arial"/>
                <w:sz w:val="18"/>
                <w:szCs w:val="18"/>
              </w:rPr>
              <w:t xml:space="preserve"> de manera semestral</w:t>
            </w:r>
            <w:r w:rsidRPr="0057465B">
              <w:rPr>
                <w:rFonts w:ascii="Arial" w:hAnsi="Arial" w:cs="Arial"/>
                <w:sz w:val="18"/>
                <w:szCs w:val="18"/>
              </w:rPr>
              <w:t xml:space="preserve"> al deudor con anticipación al boletín </w:t>
            </w:r>
            <w:r w:rsidR="006573BA">
              <w:rPr>
                <w:rFonts w:ascii="Arial" w:hAnsi="Arial" w:cs="Arial"/>
                <w:sz w:val="18"/>
                <w:szCs w:val="18"/>
              </w:rPr>
              <w:t>de Deudores Morosos del Estado -</w:t>
            </w:r>
            <w:r w:rsidRPr="0057465B">
              <w:rPr>
                <w:rFonts w:ascii="Arial" w:hAnsi="Arial" w:cs="Arial"/>
                <w:sz w:val="18"/>
                <w:szCs w:val="18"/>
              </w:rPr>
              <w:t xml:space="preserve"> BDME que será reportado </w:t>
            </w:r>
          </w:p>
        </w:tc>
        <w:tc>
          <w:tcPr>
            <w:tcW w:w="2268" w:type="dxa"/>
            <w:vAlign w:val="center"/>
          </w:tcPr>
          <w:p w14:paraId="2A51F045" w14:textId="6E99D4FE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247B415D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1134" w:type="dxa"/>
            <w:vAlign w:val="center"/>
          </w:tcPr>
          <w:p w14:paraId="27874C67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1F91D735" w14:textId="77777777" w:rsidTr="0057465B">
        <w:trPr>
          <w:trHeight w:val="691"/>
        </w:trPr>
        <w:tc>
          <w:tcPr>
            <w:tcW w:w="568" w:type="dxa"/>
            <w:vAlign w:val="center"/>
          </w:tcPr>
          <w:p w14:paraId="43037AC4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827" w:type="dxa"/>
            <w:vAlign w:val="center"/>
          </w:tcPr>
          <w:p w14:paraId="778995C1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Elaborar y remitir a Contabilidad semestralmente el boletín de deudores morosos y acuerdos de pago según directrices de la Contaduría General de la Nación.</w:t>
            </w:r>
          </w:p>
        </w:tc>
        <w:tc>
          <w:tcPr>
            <w:tcW w:w="2268" w:type="dxa"/>
            <w:vAlign w:val="center"/>
          </w:tcPr>
          <w:p w14:paraId="7443042C" w14:textId="1E8CFB9A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4A03FDF3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Registro en formato</w:t>
            </w:r>
          </w:p>
        </w:tc>
        <w:tc>
          <w:tcPr>
            <w:tcW w:w="1134" w:type="dxa"/>
            <w:vAlign w:val="center"/>
          </w:tcPr>
          <w:p w14:paraId="163237C2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0E9FEB96" w14:textId="77777777" w:rsidTr="0057465B">
        <w:trPr>
          <w:trHeight w:val="845"/>
        </w:trPr>
        <w:tc>
          <w:tcPr>
            <w:tcW w:w="568" w:type="dxa"/>
            <w:vAlign w:val="center"/>
          </w:tcPr>
          <w:p w14:paraId="38F9DBE7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</w:p>
          <w:p w14:paraId="647609FA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827" w:type="dxa"/>
            <w:vAlign w:val="center"/>
          </w:tcPr>
          <w:p w14:paraId="1F69AC97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Presentar mensualmente al Comité de Recuperación de Cartera el estado actual de la cartera.</w:t>
            </w:r>
          </w:p>
        </w:tc>
        <w:tc>
          <w:tcPr>
            <w:tcW w:w="2268" w:type="dxa"/>
            <w:vAlign w:val="center"/>
          </w:tcPr>
          <w:p w14:paraId="340EDE7E" w14:textId="219D0901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397A661C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 de cartera</w:t>
            </w:r>
          </w:p>
        </w:tc>
        <w:tc>
          <w:tcPr>
            <w:tcW w:w="1134" w:type="dxa"/>
            <w:vAlign w:val="center"/>
          </w:tcPr>
          <w:p w14:paraId="27AC0DF3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7EB97C07" w14:textId="77777777" w:rsidTr="0057465B">
        <w:trPr>
          <w:trHeight w:val="985"/>
        </w:trPr>
        <w:tc>
          <w:tcPr>
            <w:tcW w:w="568" w:type="dxa"/>
            <w:vAlign w:val="center"/>
          </w:tcPr>
          <w:p w14:paraId="281D97D6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827" w:type="dxa"/>
            <w:vAlign w:val="center"/>
          </w:tcPr>
          <w:p w14:paraId="1256A504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Determinar de acuerdo con la edad de mora de cartera el responsable de cobro </w:t>
            </w:r>
            <w:proofErr w:type="spellStart"/>
            <w:r w:rsidRPr="0057465B">
              <w:rPr>
                <w:rFonts w:ascii="Arial" w:hAnsi="Arial" w:cs="Arial"/>
                <w:sz w:val="18"/>
                <w:szCs w:val="18"/>
              </w:rPr>
              <w:t>prejurídico</w:t>
            </w:r>
            <w:proofErr w:type="spellEnd"/>
            <w:r w:rsidRPr="0057465B">
              <w:rPr>
                <w:rFonts w:ascii="Arial" w:hAnsi="Arial" w:cs="Arial"/>
                <w:sz w:val="18"/>
                <w:szCs w:val="18"/>
              </w:rPr>
              <w:t xml:space="preserve"> según lo establecido en el Instructivo de Cobro de Cartera I-M-2230-03.</w:t>
            </w:r>
          </w:p>
        </w:tc>
        <w:tc>
          <w:tcPr>
            <w:tcW w:w="2268" w:type="dxa"/>
            <w:vAlign w:val="center"/>
          </w:tcPr>
          <w:p w14:paraId="21054DBE" w14:textId="206F3ED6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638429D8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 de cartera</w:t>
            </w:r>
          </w:p>
        </w:tc>
        <w:tc>
          <w:tcPr>
            <w:tcW w:w="1134" w:type="dxa"/>
            <w:vAlign w:val="center"/>
          </w:tcPr>
          <w:p w14:paraId="604629AB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7C27CCA9" w14:textId="77777777" w:rsidTr="0057465B">
        <w:trPr>
          <w:trHeight w:val="701"/>
        </w:trPr>
        <w:tc>
          <w:tcPr>
            <w:tcW w:w="568" w:type="dxa"/>
            <w:vAlign w:val="center"/>
          </w:tcPr>
          <w:p w14:paraId="2CD822DD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827" w:type="dxa"/>
            <w:vAlign w:val="center"/>
          </w:tcPr>
          <w:p w14:paraId="7ABE37BF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Realizar seguimiento al proceso de recuperación de cartera.</w:t>
            </w:r>
          </w:p>
        </w:tc>
        <w:tc>
          <w:tcPr>
            <w:tcW w:w="2268" w:type="dxa"/>
            <w:vAlign w:val="center"/>
          </w:tcPr>
          <w:p w14:paraId="6E6D94D1" w14:textId="66CA588E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7CF30EA2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de comité de cartera.</w:t>
            </w:r>
          </w:p>
        </w:tc>
        <w:tc>
          <w:tcPr>
            <w:tcW w:w="1134" w:type="dxa"/>
            <w:vAlign w:val="center"/>
          </w:tcPr>
          <w:p w14:paraId="13854EAC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1D2CDF37" w14:textId="77777777" w:rsidTr="0057465B">
        <w:trPr>
          <w:trHeight w:val="839"/>
        </w:trPr>
        <w:tc>
          <w:tcPr>
            <w:tcW w:w="568" w:type="dxa"/>
            <w:vAlign w:val="center"/>
          </w:tcPr>
          <w:p w14:paraId="1DE367BB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827" w:type="dxa"/>
            <w:vAlign w:val="center"/>
          </w:tcPr>
          <w:p w14:paraId="380F3FFC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Enviar a la Asesoría Jurídica mensualmente la cartera para la gestión de cobro </w:t>
            </w:r>
            <w:proofErr w:type="spellStart"/>
            <w:r w:rsidRPr="0057465B">
              <w:rPr>
                <w:rFonts w:ascii="Arial" w:hAnsi="Arial" w:cs="Arial"/>
                <w:sz w:val="18"/>
                <w:szCs w:val="18"/>
              </w:rPr>
              <w:t>prejurídico</w:t>
            </w:r>
            <w:proofErr w:type="spellEnd"/>
            <w:r w:rsidRPr="0057465B">
              <w:rPr>
                <w:rFonts w:ascii="Arial" w:hAnsi="Arial" w:cs="Arial"/>
                <w:sz w:val="18"/>
                <w:szCs w:val="18"/>
              </w:rPr>
              <w:t xml:space="preserve"> créditos mayor a 90 días</w:t>
            </w:r>
          </w:p>
        </w:tc>
        <w:tc>
          <w:tcPr>
            <w:tcW w:w="2268" w:type="dxa"/>
            <w:vAlign w:val="center"/>
          </w:tcPr>
          <w:p w14:paraId="3C16723A" w14:textId="7BB41DFE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C151D8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4428E014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Comunicación</w:t>
            </w:r>
          </w:p>
        </w:tc>
        <w:tc>
          <w:tcPr>
            <w:tcW w:w="1134" w:type="dxa"/>
            <w:vAlign w:val="center"/>
          </w:tcPr>
          <w:p w14:paraId="6F294444" w14:textId="47EF9461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784063D4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D7BF3DB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827" w:type="dxa"/>
            <w:vAlign w:val="center"/>
          </w:tcPr>
          <w:p w14:paraId="7746FF35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Evaluar el informe de la Asesoría Jurídica los créditos con mora superior a 180 días que deban ser vendidos a la entidad del estado encargada para tal fin y presentar a la Gerencia.</w:t>
            </w:r>
          </w:p>
        </w:tc>
        <w:tc>
          <w:tcPr>
            <w:tcW w:w="2268" w:type="dxa"/>
            <w:vAlign w:val="center"/>
          </w:tcPr>
          <w:p w14:paraId="79B98E9C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Comité de Cartera</w:t>
            </w:r>
          </w:p>
        </w:tc>
        <w:tc>
          <w:tcPr>
            <w:tcW w:w="1701" w:type="dxa"/>
            <w:vAlign w:val="center"/>
          </w:tcPr>
          <w:p w14:paraId="5EA0E856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de comité de cartera</w:t>
            </w:r>
          </w:p>
        </w:tc>
        <w:tc>
          <w:tcPr>
            <w:tcW w:w="1134" w:type="dxa"/>
            <w:vAlign w:val="center"/>
          </w:tcPr>
          <w:p w14:paraId="5DFE1A36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6D4A5198" w14:textId="77777777" w:rsidTr="0057465B">
        <w:trPr>
          <w:trHeight w:val="739"/>
        </w:trPr>
        <w:tc>
          <w:tcPr>
            <w:tcW w:w="568" w:type="dxa"/>
            <w:vAlign w:val="center"/>
          </w:tcPr>
          <w:p w14:paraId="5942B087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827" w:type="dxa"/>
            <w:vAlign w:val="center"/>
          </w:tcPr>
          <w:p w14:paraId="6E7B1643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Informar al Comité Directivo las recomendaciones del comité de cartera.</w:t>
            </w:r>
          </w:p>
        </w:tc>
        <w:tc>
          <w:tcPr>
            <w:tcW w:w="2268" w:type="dxa"/>
            <w:vAlign w:val="center"/>
          </w:tcPr>
          <w:p w14:paraId="031205C6" w14:textId="4D1C37DC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6574331A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</w:t>
            </w:r>
          </w:p>
        </w:tc>
        <w:tc>
          <w:tcPr>
            <w:tcW w:w="1134" w:type="dxa"/>
            <w:vAlign w:val="center"/>
          </w:tcPr>
          <w:p w14:paraId="35D952CD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3EB08D57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7292D3A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827" w:type="dxa"/>
            <w:vAlign w:val="center"/>
          </w:tcPr>
          <w:p w14:paraId="61B8F165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Presentar al Comité de Cartera aquellas solicitudes de acuerdos de pago, renegociación de la deuda y periodos de gracia para estudio y a Gerencia para aprobación</w:t>
            </w:r>
          </w:p>
        </w:tc>
        <w:tc>
          <w:tcPr>
            <w:tcW w:w="2268" w:type="dxa"/>
            <w:vAlign w:val="center"/>
          </w:tcPr>
          <w:p w14:paraId="0F119C0B" w14:textId="4E97DEF8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319BF823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comité</w:t>
            </w:r>
          </w:p>
        </w:tc>
        <w:tc>
          <w:tcPr>
            <w:tcW w:w="1134" w:type="dxa"/>
            <w:vAlign w:val="center"/>
          </w:tcPr>
          <w:p w14:paraId="478B1BA6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63446574" w14:textId="77777777" w:rsidTr="006573BA">
        <w:trPr>
          <w:trHeight w:val="667"/>
        </w:trPr>
        <w:tc>
          <w:tcPr>
            <w:tcW w:w="568" w:type="dxa"/>
            <w:vAlign w:val="center"/>
          </w:tcPr>
          <w:p w14:paraId="162B1AE0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lastRenderedPageBreak/>
              <w:t>27</w:t>
            </w:r>
          </w:p>
        </w:tc>
        <w:tc>
          <w:tcPr>
            <w:tcW w:w="3827" w:type="dxa"/>
            <w:vAlign w:val="center"/>
          </w:tcPr>
          <w:p w14:paraId="0EB2B5CE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Evaluar las solicitudes de acuerdos de pago, renegociación de la deuda y periodos de gracia </w:t>
            </w:r>
          </w:p>
        </w:tc>
        <w:tc>
          <w:tcPr>
            <w:tcW w:w="2268" w:type="dxa"/>
            <w:vAlign w:val="center"/>
          </w:tcPr>
          <w:p w14:paraId="78F55CAD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Comité de Cartera</w:t>
            </w:r>
          </w:p>
        </w:tc>
        <w:tc>
          <w:tcPr>
            <w:tcW w:w="1701" w:type="dxa"/>
            <w:vAlign w:val="center"/>
          </w:tcPr>
          <w:p w14:paraId="77F14591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comité de cartera</w:t>
            </w:r>
          </w:p>
        </w:tc>
        <w:tc>
          <w:tcPr>
            <w:tcW w:w="1134" w:type="dxa"/>
            <w:vAlign w:val="center"/>
          </w:tcPr>
          <w:p w14:paraId="7E06BB17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58AD0A39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51F4F5F8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827" w:type="dxa"/>
            <w:vAlign w:val="center"/>
          </w:tcPr>
          <w:p w14:paraId="3D8D1B56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Tramitar y hacer seguimiento a los mecanismos de protección y recuperación de los acuerdos suscritos con los deudores morosos.</w:t>
            </w:r>
          </w:p>
        </w:tc>
        <w:tc>
          <w:tcPr>
            <w:tcW w:w="2268" w:type="dxa"/>
            <w:vAlign w:val="center"/>
          </w:tcPr>
          <w:p w14:paraId="695E8FD3" w14:textId="3351A716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6BC08CD5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Acuerdos y Relación de seguimiento</w:t>
            </w:r>
          </w:p>
        </w:tc>
        <w:tc>
          <w:tcPr>
            <w:tcW w:w="1134" w:type="dxa"/>
            <w:vAlign w:val="center"/>
          </w:tcPr>
          <w:p w14:paraId="54E7B8E5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587A9604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016E0F2B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827" w:type="dxa"/>
            <w:vAlign w:val="center"/>
          </w:tcPr>
          <w:p w14:paraId="76488BA8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 Evaluar las obligaciones en donde se encuentren indicios de deterioro o que haya riesgo de no recuperación, previo concepto del asesor jurídico, para ser presentado al Comité de Sostenibilidad Contable.</w:t>
            </w:r>
          </w:p>
        </w:tc>
        <w:tc>
          <w:tcPr>
            <w:tcW w:w="2268" w:type="dxa"/>
            <w:vAlign w:val="center"/>
          </w:tcPr>
          <w:p w14:paraId="58229E39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Comité de Cartera</w:t>
            </w:r>
          </w:p>
        </w:tc>
        <w:tc>
          <w:tcPr>
            <w:tcW w:w="1701" w:type="dxa"/>
            <w:vAlign w:val="center"/>
          </w:tcPr>
          <w:p w14:paraId="431CCF31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comité de cartera</w:t>
            </w:r>
          </w:p>
        </w:tc>
        <w:tc>
          <w:tcPr>
            <w:tcW w:w="1134" w:type="dxa"/>
            <w:vAlign w:val="center"/>
          </w:tcPr>
          <w:p w14:paraId="43456683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36843E24" w14:textId="77777777" w:rsidTr="0057465B">
        <w:trPr>
          <w:trHeight w:val="1088"/>
        </w:trPr>
        <w:tc>
          <w:tcPr>
            <w:tcW w:w="568" w:type="dxa"/>
            <w:vAlign w:val="center"/>
          </w:tcPr>
          <w:p w14:paraId="71D9FCE7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827" w:type="dxa"/>
            <w:vAlign w:val="center"/>
          </w:tcPr>
          <w:p w14:paraId="52C827DF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Solicitar al administrador del sistema de crédito y cartera aplicar los créditos objeto de depuración (castigo) de acuerdo a las indicaciones de la Junta Directiva</w:t>
            </w:r>
          </w:p>
        </w:tc>
        <w:tc>
          <w:tcPr>
            <w:tcW w:w="2268" w:type="dxa"/>
            <w:vAlign w:val="center"/>
          </w:tcPr>
          <w:p w14:paraId="63AE7CE3" w14:textId="0145B4AF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37F9F95E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Reporte TAO</w:t>
            </w:r>
          </w:p>
        </w:tc>
        <w:tc>
          <w:tcPr>
            <w:tcW w:w="1134" w:type="dxa"/>
            <w:vAlign w:val="center"/>
          </w:tcPr>
          <w:p w14:paraId="0BE04A04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57465B" w:rsidRPr="0057465B" w14:paraId="07F75CD9" w14:textId="77777777" w:rsidTr="0057465B">
        <w:trPr>
          <w:trHeight w:val="941"/>
        </w:trPr>
        <w:tc>
          <w:tcPr>
            <w:tcW w:w="568" w:type="dxa"/>
            <w:vAlign w:val="center"/>
          </w:tcPr>
          <w:p w14:paraId="0A50B7E2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827" w:type="dxa"/>
            <w:vAlign w:val="center"/>
          </w:tcPr>
          <w:p w14:paraId="55AB138B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Actualizar en el campo de observaciones de cada crédito la información de depuración o castigo.</w:t>
            </w:r>
          </w:p>
        </w:tc>
        <w:tc>
          <w:tcPr>
            <w:tcW w:w="2268" w:type="dxa"/>
            <w:vAlign w:val="center"/>
          </w:tcPr>
          <w:p w14:paraId="1F19AF6A" w14:textId="6A315D90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376B28E9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Estados de cuenta</w:t>
            </w:r>
          </w:p>
        </w:tc>
        <w:tc>
          <w:tcPr>
            <w:tcW w:w="1134" w:type="dxa"/>
            <w:vAlign w:val="center"/>
          </w:tcPr>
          <w:p w14:paraId="250D3D5A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5E43451C" w14:textId="77777777" w:rsidTr="0057465B">
        <w:trPr>
          <w:trHeight w:val="702"/>
        </w:trPr>
        <w:tc>
          <w:tcPr>
            <w:tcW w:w="568" w:type="dxa"/>
            <w:vAlign w:val="center"/>
          </w:tcPr>
          <w:p w14:paraId="37B19852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827" w:type="dxa"/>
            <w:vAlign w:val="center"/>
          </w:tcPr>
          <w:p w14:paraId="332D5110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Informar al Comité de Cartera el estado de los créditos una vez se procede con la depuración o castigo de cartera</w:t>
            </w:r>
          </w:p>
        </w:tc>
        <w:tc>
          <w:tcPr>
            <w:tcW w:w="2268" w:type="dxa"/>
            <w:vAlign w:val="center"/>
          </w:tcPr>
          <w:p w14:paraId="6C8BB365" w14:textId="02DF3BCD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466E08B3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Acta comité de cartera</w:t>
            </w:r>
          </w:p>
        </w:tc>
        <w:tc>
          <w:tcPr>
            <w:tcW w:w="1134" w:type="dxa"/>
            <w:vAlign w:val="center"/>
          </w:tcPr>
          <w:p w14:paraId="0650A129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7465B" w:rsidRPr="0057465B" w14:paraId="0EB3D30B" w14:textId="77777777" w:rsidTr="0057465B">
        <w:trPr>
          <w:trHeight w:val="731"/>
        </w:trPr>
        <w:tc>
          <w:tcPr>
            <w:tcW w:w="568" w:type="dxa"/>
            <w:vAlign w:val="center"/>
          </w:tcPr>
          <w:p w14:paraId="55BF2B3F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</w:p>
          <w:p w14:paraId="21EAF531" w14:textId="77777777" w:rsidR="00B71D0A" w:rsidRPr="0057465B" w:rsidRDefault="00B71D0A" w:rsidP="0057465B">
            <w:pPr>
              <w:spacing w:after="0" w:line="240" w:lineRule="auto"/>
              <w:ind w:left="142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827" w:type="dxa"/>
            <w:vAlign w:val="center"/>
          </w:tcPr>
          <w:p w14:paraId="4DCD2274" w14:textId="77777777" w:rsidR="00B71D0A" w:rsidRPr="0057465B" w:rsidRDefault="00B71D0A" w:rsidP="0057465B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Presentar los informes requeridos por los organismos externos.</w:t>
            </w:r>
          </w:p>
        </w:tc>
        <w:tc>
          <w:tcPr>
            <w:tcW w:w="2268" w:type="dxa"/>
            <w:vAlign w:val="center"/>
          </w:tcPr>
          <w:p w14:paraId="51AFAB2F" w14:textId="4905E849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</w:t>
            </w:r>
            <w:r w:rsidR="00C151D8" w:rsidRPr="007A40E9">
              <w:rPr>
                <w:rFonts w:ascii="Arial" w:hAnsi="Arial" w:cs="Arial"/>
                <w:sz w:val="18"/>
                <w:szCs w:val="18"/>
              </w:rPr>
              <w:t>Grupo de Gestión de Apoyo Financiero Crédito y Cartera</w:t>
            </w:r>
            <w:r w:rsidRPr="0057465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14:paraId="5B470B41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87AD01" w14:textId="77777777" w:rsidR="00B71D0A" w:rsidRPr="0057465B" w:rsidRDefault="00B71D0A" w:rsidP="0057465B">
            <w:pPr>
              <w:spacing w:after="0" w:line="240" w:lineRule="auto"/>
              <w:ind w:left="3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Informes</w:t>
            </w:r>
          </w:p>
        </w:tc>
        <w:tc>
          <w:tcPr>
            <w:tcW w:w="1134" w:type="dxa"/>
            <w:vAlign w:val="center"/>
          </w:tcPr>
          <w:p w14:paraId="2304EAE3" w14:textId="77777777" w:rsidR="00B71D0A" w:rsidRPr="0057465B" w:rsidRDefault="00B71D0A" w:rsidP="0057465B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3B418E7" w14:textId="77777777" w:rsid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  <w:sz w:val="18"/>
          <w:szCs w:val="18"/>
        </w:rPr>
      </w:pPr>
    </w:p>
    <w:p w14:paraId="4F2C0978" w14:textId="77777777" w:rsidR="0057465B" w:rsidRDefault="0057465B" w:rsidP="0057465B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</w:p>
    <w:p w14:paraId="6774193B" w14:textId="77777777" w:rsidR="0057465B" w:rsidRPr="0057465B" w:rsidRDefault="0057465B" w:rsidP="0057465B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  <w:r w:rsidRPr="00B71D0A">
        <w:rPr>
          <w:rFonts w:ascii="Arial" w:hAnsi="Arial" w:cs="Arial"/>
          <w:b/>
          <w:bCs/>
        </w:rPr>
        <w:t>6.2 GESTIÓN DE COBRO DE CRÉDITOS FBS</w:t>
      </w:r>
    </w:p>
    <w:tbl>
      <w:tblPr>
        <w:tblpPr w:leftFromText="141" w:rightFromText="141" w:vertAnchor="text" w:horzAnchor="margin" w:tblpXSpec="center" w:tblpY="104"/>
        <w:tblOverlap w:val="never"/>
        <w:tblW w:w="54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49"/>
        <w:gridCol w:w="3599"/>
        <w:gridCol w:w="2692"/>
        <w:gridCol w:w="1559"/>
        <w:gridCol w:w="1135"/>
      </w:tblGrid>
      <w:tr w:rsidR="00274914" w:rsidRPr="0057465B" w14:paraId="1D4F1AD2" w14:textId="77777777" w:rsidTr="006573BA">
        <w:trPr>
          <w:trHeight w:val="540"/>
          <w:jc w:val="center"/>
        </w:trPr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14:paraId="6BF8E810" w14:textId="77777777" w:rsidR="00274914" w:rsidRPr="00C151D8" w:rsidRDefault="00274914" w:rsidP="00274914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51D8">
              <w:rPr>
                <w:rFonts w:ascii="Arial" w:hAnsi="Arial" w:cs="Arial"/>
                <w:b/>
                <w:sz w:val="18"/>
                <w:szCs w:val="18"/>
              </w:rPr>
              <w:t>No</w:t>
            </w:r>
            <w:r w:rsidRPr="00C151D8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868" w:type="pct"/>
            <w:tcBorders>
              <w:top w:val="single" w:sz="4" w:space="0" w:color="auto"/>
            </w:tcBorders>
            <w:vAlign w:val="center"/>
          </w:tcPr>
          <w:p w14:paraId="46EBA2C7" w14:textId="77777777" w:rsidR="00274914" w:rsidRPr="00C151D8" w:rsidRDefault="00274914" w:rsidP="00274914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51D8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1397" w:type="pct"/>
            <w:tcBorders>
              <w:top w:val="single" w:sz="4" w:space="0" w:color="auto"/>
            </w:tcBorders>
            <w:vAlign w:val="center"/>
          </w:tcPr>
          <w:p w14:paraId="58D07499" w14:textId="77777777" w:rsidR="00274914" w:rsidRPr="00C151D8" w:rsidRDefault="00274914" w:rsidP="00274914">
            <w:pPr>
              <w:spacing w:after="0" w:line="240" w:lineRule="auto"/>
              <w:ind w:left="14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51D8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809" w:type="pct"/>
            <w:tcBorders>
              <w:top w:val="single" w:sz="4" w:space="0" w:color="auto"/>
            </w:tcBorders>
            <w:vAlign w:val="center"/>
          </w:tcPr>
          <w:p w14:paraId="5015F649" w14:textId="77777777" w:rsidR="00274914" w:rsidRPr="00C151D8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51D8">
              <w:rPr>
                <w:rFonts w:ascii="Arial" w:hAnsi="Arial" w:cs="Arial"/>
                <w:b/>
                <w:sz w:val="18"/>
                <w:szCs w:val="18"/>
              </w:rPr>
              <w:t>Documento Generado</w:t>
            </w:r>
          </w:p>
        </w:tc>
        <w:tc>
          <w:tcPr>
            <w:tcW w:w="589" w:type="pct"/>
            <w:tcBorders>
              <w:top w:val="single" w:sz="4" w:space="0" w:color="auto"/>
            </w:tcBorders>
            <w:vAlign w:val="center"/>
          </w:tcPr>
          <w:p w14:paraId="75962D27" w14:textId="77777777" w:rsidR="00274914" w:rsidRPr="00C151D8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51D8">
              <w:rPr>
                <w:rFonts w:ascii="Arial" w:hAnsi="Arial" w:cs="Arial"/>
                <w:b/>
                <w:sz w:val="18"/>
                <w:szCs w:val="18"/>
              </w:rPr>
              <w:t>Punto de Control</w:t>
            </w:r>
          </w:p>
        </w:tc>
      </w:tr>
      <w:tr w:rsidR="00274914" w:rsidRPr="0057465B" w14:paraId="1B064241" w14:textId="77777777" w:rsidTr="006573BA">
        <w:trPr>
          <w:trHeight w:val="711"/>
          <w:jc w:val="center"/>
        </w:trPr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14:paraId="7EC4A242" w14:textId="77777777" w:rsidR="00274914" w:rsidRPr="0057465B" w:rsidRDefault="00274914" w:rsidP="00274914">
            <w:pPr>
              <w:spacing w:after="0" w:line="240" w:lineRule="auto"/>
              <w:ind w:left="142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1868" w:type="pct"/>
            <w:tcBorders>
              <w:top w:val="single" w:sz="4" w:space="0" w:color="auto"/>
            </w:tcBorders>
            <w:vAlign w:val="center"/>
          </w:tcPr>
          <w:p w14:paraId="5891B21D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 xml:space="preserve">Generar, proyectar y remitir reporte de morosos y memorando para cobro </w:t>
            </w:r>
            <w:proofErr w:type="spellStart"/>
            <w:r w:rsidRPr="0057465B">
              <w:rPr>
                <w:rFonts w:ascii="Arial" w:hAnsi="Arial" w:cs="Arial"/>
                <w:bCs/>
                <w:sz w:val="18"/>
                <w:szCs w:val="18"/>
              </w:rPr>
              <w:t>prejurídico</w:t>
            </w:r>
            <w:proofErr w:type="spellEnd"/>
            <w:r w:rsidRPr="0057465B">
              <w:rPr>
                <w:rFonts w:ascii="Arial" w:hAnsi="Arial" w:cs="Arial"/>
                <w:bCs/>
                <w:sz w:val="18"/>
                <w:szCs w:val="18"/>
              </w:rPr>
              <w:t xml:space="preserve"> a morosos de 0 a 90 días </w:t>
            </w:r>
          </w:p>
        </w:tc>
        <w:tc>
          <w:tcPr>
            <w:tcW w:w="1397" w:type="pct"/>
            <w:tcBorders>
              <w:top w:val="single" w:sz="4" w:space="0" w:color="auto"/>
            </w:tcBorders>
            <w:vAlign w:val="center"/>
          </w:tcPr>
          <w:p w14:paraId="686AF15A" w14:textId="02AD16F0" w:rsidR="00274914" w:rsidRPr="0057465B" w:rsidRDefault="00274914" w:rsidP="00C151D8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Universitario grado 09 –Técnico administrativo </w:t>
            </w:r>
            <w:r w:rsidR="00C151D8">
              <w:rPr>
                <w:rFonts w:ascii="Arial" w:hAnsi="Arial" w:cs="Arial"/>
                <w:sz w:val="18"/>
                <w:szCs w:val="18"/>
              </w:rPr>
              <w:t>área</w:t>
            </w:r>
            <w:r w:rsidR="00C151D8" w:rsidRPr="0057465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7465B">
              <w:rPr>
                <w:rFonts w:ascii="Arial" w:hAnsi="Arial" w:cs="Arial"/>
                <w:sz w:val="18"/>
                <w:szCs w:val="18"/>
              </w:rPr>
              <w:t>de cartera</w:t>
            </w:r>
          </w:p>
        </w:tc>
        <w:tc>
          <w:tcPr>
            <w:tcW w:w="809" w:type="pct"/>
            <w:tcBorders>
              <w:top w:val="single" w:sz="4" w:space="0" w:color="auto"/>
            </w:tcBorders>
            <w:vAlign w:val="center"/>
          </w:tcPr>
          <w:p w14:paraId="69B9FC55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Memorando y reporte</w:t>
            </w:r>
          </w:p>
        </w:tc>
        <w:tc>
          <w:tcPr>
            <w:tcW w:w="589" w:type="pct"/>
            <w:tcBorders>
              <w:top w:val="single" w:sz="4" w:space="0" w:color="auto"/>
            </w:tcBorders>
            <w:vAlign w:val="center"/>
          </w:tcPr>
          <w:p w14:paraId="1F1245A3" w14:textId="77777777" w:rsidR="00274914" w:rsidRPr="0057465B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74914" w:rsidRPr="0057465B" w14:paraId="75AC94AA" w14:textId="77777777" w:rsidTr="006573BA">
        <w:trPr>
          <w:trHeight w:val="711"/>
          <w:jc w:val="center"/>
        </w:trPr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14:paraId="5A286864" w14:textId="77777777" w:rsidR="00274914" w:rsidRPr="0057465B" w:rsidRDefault="00274914" w:rsidP="00274914">
            <w:pPr>
              <w:spacing w:after="0" w:line="240" w:lineRule="auto"/>
              <w:ind w:left="142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1868" w:type="pct"/>
            <w:tcBorders>
              <w:top w:val="single" w:sz="4" w:space="0" w:color="auto"/>
            </w:tcBorders>
            <w:vAlign w:val="center"/>
          </w:tcPr>
          <w:p w14:paraId="5B39A7AF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 xml:space="preserve">Verificar en el sistema el proceso de </w:t>
            </w:r>
            <w:proofErr w:type="spellStart"/>
            <w:r w:rsidRPr="0057465B">
              <w:rPr>
                <w:rFonts w:ascii="Arial" w:hAnsi="Arial" w:cs="Arial"/>
                <w:bCs/>
                <w:sz w:val="18"/>
                <w:szCs w:val="18"/>
              </w:rPr>
              <w:t>circularización</w:t>
            </w:r>
            <w:proofErr w:type="spellEnd"/>
            <w:r w:rsidRPr="0057465B">
              <w:rPr>
                <w:rFonts w:ascii="Arial" w:hAnsi="Arial" w:cs="Arial"/>
                <w:bCs/>
                <w:sz w:val="18"/>
                <w:szCs w:val="18"/>
              </w:rPr>
              <w:t xml:space="preserve"> y generar el envío de comunicaciones a través del sistema</w:t>
            </w:r>
          </w:p>
        </w:tc>
        <w:tc>
          <w:tcPr>
            <w:tcW w:w="1397" w:type="pct"/>
            <w:tcBorders>
              <w:top w:val="single" w:sz="4" w:space="0" w:color="auto"/>
            </w:tcBorders>
            <w:vAlign w:val="center"/>
          </w:tcPr>
          <w:p w14:paraId="4DE2B8DE" w14:textId="45559435" w:rsidR="00274914" w:rsidRPr="0057465B" w:rsidRDefault="00274914" w:rsidP="00C151D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Técnico administrativo </w:t>
            </w:r>
            <w:r w:rsidR="00C151D8">
              <w:rPr>
                <w:rFonts w:ascii="Arial" w:hAnsi="Arial" w:cs="Arial"/>
                <w:sz w:val="18"/>
                <w:szCs w:val="18"/>
              </w:rPr>
              <w:t>área</w:t>
            </w:r>
            <w:r w:rsidR="00C151D8" w:rsidRPr="0057465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7465B">
              <w:rPr>
                <w:rFonts w:ascii="Arial" w:hAnsi="Arial" w:cs="Arial"/>
                <w:sz w:val="18"/>
                <w:szCs w:val="18"/>
              </w:rPr>
              <w:t>de cartera</w:t>
            </w:r>
          </w:p>
        </w:tc>
        <w:tc>
          <w:tcPr>
            <w:tcW w:w="809" w:type="pct"/>
            <w:tcBorders>
              <w:top w:val="single" w:sz="4" w:space="0" w:color="auto"/>
            </w:tcBorders>
            <w:vAlign w:val="center"/>
          </w:tcPr>
          <w:p w14:paraId="0DDB03C1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TAO</w:t>
            </w:r>
          </w:p>
        </w:tc>
        <w:tc>
          <w:tcPr>
            <w:tcW w:w="589" w:type="pct"/>
            <w:tcBorders>
              <w:top w:val="single" w:sz="4" w:space="0" w:color="auto"/>
            </w:tcBorders>
            <w:vAlign w:val="center"/>
          </w:tcPr>
          <w:p w14:paraId="262BB431" w14:textId="77777777" w:rsidR="00274914" w:rsidRPr="0057465B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X</w:t>
            </w:r>
          </w:p>
        </w:tc>
      </w:tr>
      <w:tr w:rsidR="00274914" w:rsidRPr="0057465B" w14:paraId="1B564AD4" w14:textId="77777777" w:rsidTr="006573BA">
        <w:trPr>
          <w:trHeight w:val="924"/>
          <w:jc w:val="center"/>
        </w:trPr>
        <w:tc>
          <w:tcPr>
            <w:tcW w:w="337" w:type="pct"/>
            <w:vAlign w:val="center"/>
          </w:tcPr>
          <w:p w14:paraId="78D027EE" w14:textId="77777777" w:rsidR="00274914" w:rsidRPr="0057465B" w:rsidRDefault="00274914" w:rsidP="00274914">
            <w:pPr>
              <w:spacing w:after="0" w:line="240" w:lineRule="auto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868" w:type="pct"/>
            <w:vAlign w:val="center"/>
          </w:tcPr>
          <w:p w14:paraId="6498BE22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Realizar la gestión de cobro en la etapa </w:t>
            </w:r>
            <w:proofErr w:type="spellStart"/>
            <w:r w:rsidRPr="0057465B">
              <w:rPr>
                <w:rFonts w:ascii="Arial" w:hAnsi="Arial" w:cs="Arial"/>
                <w:sz w:val="18"/>
                <w:szCs w:val="18"/>
              </w:rPr>
              <w:t>prejurídica</w:t>
            </w:r>
            <w:proofErr w:type="spellEnd"/>
            <w:r w:rsidRPr="0057465B">
              <w:rPr>
                <w:rFonts w:ascii="Arial" w:hAnsi="Arial" w:cs="Arial"/>
                <w:sz w:val="18"/>
                <w:szCs w:val="18"/>
              </w:rPr>
              <w:t xml:space="preserve"> de 1 a 90 días atendiendo el instructivo de cobro de cartera  I-M-2230-03</w:t>
            </w:r>
          </w:p>
        </w:tc>
        <w:tc>
          <w:tcPr>
            <w:tcW w:w="1397" w:type="pct"/>
            <w:vAlign w:val="center"/>
          </w:tcPr>
          <w:p w14:paraId="52C3151D" w14:textId="7F2396BC" w:rsidR="00274914" w:rsidRPr="0057465B" w:rsidRDefault="00274914" w:rsidP="00C151D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Técnico administrativo </w:t>
            </w:r>
            <w:r w:rsidR="00C151D8">
              <w:rPr>
                <w:rFonts w:ascii="Arial" w:hAnsi="Arial" w:cs="Arial"/>
                <w:sz w:val="18"/>
                <w:szCs w:val="18"/>
              </w:rPr>
              <w:t>área</w:t>
            </w:r>
            <w:r w:rsidR="00C151D8" w:rsidRPr="0057465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7465B">
              <w:rPr>
                <w:rFonts w:ascii="Arial" w:hAnsi="Arial" w:cs="Arial"/>
                <w:sz w:val="18"/>
                <w:szCs w:val="18"/>
              </w:rPr>
              <w:t>de cartera</w:t>
            </w:r>
          </w:p>
        </w:tc>
        <w:tc>
          <w:tcPr>
            <w:tcW w:w="809" w:type="pct"/>
            <w:vAlign w:val="center"/>
          </w:tcPr>
          <w:p w14:paraId="210DCF8E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Comunicaciones - TAO</w:t>
            </w:r>
          </w:p>
        </w:tc>
        <w:tc>
          <w:tcPr>
            <w:tcW w:w="589" w:type="pct"/>
            <w:vAlign w:val="center"/>
          </w:tcPr>
          <w:p w14:paraId="29E04225" w14:textId="77777777" w:rsidR="00274914" w:rsidRPr="0057465B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274914" w:rsidRPr="0057465B" w14:paraId="6307DE52" w14:textId="77777777" w:rsidTr="006573BA">
        <w:trPr>
          <w:trHeight w:val="527"/>
          <w:jc w:val="center"/>
        </w:trPr>
        <w:tc>
          <w:tcPr>
            <w:tcW w:w="337" w:type="pct"/>
            <w:vAlign w:val="center"/>
          </w:tcPr>
          <w:p w14:paraId="58816222" w14:textId="77777777" w:rsidR="00274914" w:rsidRPr="0057465B" w:rsidRDefault="00274914" w:rsidP="00274914">
            <w:pPr>
              <w:spacing w:after="0" w:line="240" w:lineRule="auto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868" w:type="pct"/>
            <w:vAlign w:val="center"/>
          </w:tcPr>
          <w:p w14:paraId="769E9840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Atender requerimientos sobre los créditos a los deudores dando respuesta oportuna</w:t>
            </w:r>
          </w:p>
        </w:tc>
        <w:tc>
          <w:tcPr>
            <w:tcW w:w="1397" w:type="pct"/>
            <w:vAlign w:val="center"/>
          </w:tcPr>
          <w:p w14:paraId="3D43D0A7" w14:textId="135AA735" w:rsidR="00274914" w:rsidRPr="0057465B" w:rsidRDefault="00274914" w:rsidP="00C151D8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 xml:space="preserve">Profesional Especializado grado 21 - Profesional Universitario grado 09 –Técnicos administrativos </w:t>
            </w:r>
            <w:r w:rsidR="00C151D8">
              <w:rPr>
                <w:rFonts w:ascii="Arial" w:hAnsi="Arial" w:cs="Arial"/>
                <w:sz w:val="18"/>
                <w:szCs w:val="18"/>
              </w:rPr>
              <w:t>área</w:t>
            </w:r>
            <w:r w:rsidR="00C151D8" w:rsidRPr="0057465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7465B">
              <w:rPr>
                <w:rFonts w:ascii="Arial" w:hAnsi="Arial" w:cs="Arial"/>
                <w:sz w:val="18"/>
                <w:szCs w:val="18"/>
              </w:rPr>
              <w:t>de cartera</w:t>
            </w:r>
          </w:p>
        </w:tc>
        <w:tc>
          <w:tcPr>
            <w:tcW w:w="809" w:type="pct"/>
            <w:vAlign w:val="center"/>
          </w:tcPr>
          <w:p w14:paraId="6DA864D1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7465B">
              <w:rPr>
                <w:rFonts w:ascii="Arial" w:hAnsi="Arial" w:cs="Arial"/>
                <w:bCs/>
                <w:sz w:val="18"/>
                <w:szCs w:val="18"/>
              </w:rPr>
              <w:t>F-M-2230-16</w:t>
            </w:r>
          </w:p>
          <w:p w14:paraId="70309112" w14:textId="77777777" w:rsidR="00274914" w:rsidRPr="0057465B" w:rsidRDefault="00274914" w:rsidP="00274914">
            <w:p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7465B">
              <w:rPr>
                <w:rFonts w:ascii="Arial" w:hAnsi="Arial" w:cs="Arial"/>
                <w:sz w:val="18"/>
                <w:szCs w:val="18"/>
              </w:rPr>
              <w:t>Comunicaciones</w:t>
            </w:r>
          </w:p>
        </w:tc>
        <w:tc>
          <w:tcPr>
            <w:tcW w:w="589" w:type="pct"/>
            <w:vAlign w:val="center"/>
          </w:tcPr>
          <w:p w14:paraId="123A5627" w14:textId="17CD47F1" w:rsidR="00274914" w:rsidRPr="0057465B" w:rsidRDefault="00274914" w:rsidP="00274914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FE8ECEB" w14:textId="77777777" w:rsid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</w:p>
    <w:p w14:paraId="65D5DA3F" w14:textId="77777777" w:rsidR="00274914" w:rsidRPr="00B71D0A" w:rsidRDefault="00274914" w:rsidP="00B71D0A">
      <w:pPr>
        <w:spacing w:after="0" w:line="240" w:lineRule="auto"/>
        <w:ind w:left="142"/>
        <w:jc w:val="both"/>
        <w:rPr>
          <w:rFonts w:ascii="Arial" w:hAnsi="Arial" w:cs="Arial"/>
          <w:b/>
          <w:bCs/>
        </w:rPr>
      </w:pPr>
    </w:p>
    <w:p w14:paraId="58228BC9" w14:textId="77777777" w:rsidR="00B71D0A" w:rsidRPr="00B71D0A" w:rsidRDefault="00B71D0A" w:rsidP="00B71D0A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  <w:b/>
        </w:rPr>
      </w:pPr>
      <w:r w:rsidRPr="00B71D0A">
        <w:rPr>
          <w:rFonts w:ascii="Arial" w:hAnsi="Arial" w:cs="Arial"/>
          <w:b/>
        </w:rPr>
        <w:t>REGISTROS.</w:t>
      </w:r>
    </w:p>
    <w:p w14:paraId="4059833F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450CF0F0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  <w:bCs/>
        </w:rPr>
      </w:pPr>
      <w:r w:rsidRPr="00B71D0A">
        <w:rPr>
          <w:rFonts w:ascii="Arial" w:hAnsi="Arial" w:cs="Arial"/>
          <w:bCs/>
        </w:rPr>
        <w:t>Actas de comité de cartera</w:t>
      </w:r>
    </w:p>
    <w:p w14:paraId="1C83F3FE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  <w:bCs/>
        </w:rPr>
      </w:pPr>
      <w:r w:rsidRPr="00B71D0A">
        <w:rPr>
          <w:rFonts w:ascii="Arial" w:hAnsi="Arial" w:cs="Arial"/>
          <w:bCs/>
        </w:rPr>
        <w:t>Formato de solicitud documentos cartera F-M-2230-16</w:t>
      </w:r>
    </w:p>
    <w:p w14:paraId="0D3411B9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  <w:bCs/>
        </w:rPr>
      </w:pPr>
      <w:r w:rsidRPr="00B71D0A">
        <w:rPr>
          <w:rFonts w:ascii="Arial" w:hAnsi="Arial" w:cs="Arial"/>
          <w:bCs/>
        </w:rPr>
        <w:t>Formato solicitud devoluciones mayores valores cancelados al crédito F-M-2230-15</w:t>
      </w:r>
    </w:p>
    <w:p w14:paraId="21988D66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74753574" w14:textId="77777777" w:rsidR="00B71D0A" w:rsidRPr="00B71D0A" w:rsidRDefault="00B71D0A" w:rsidP="00B71D0A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  <w:b/>
        </w:rPr>
      </w:pPr>
      <w:r w:rsidRPr="00B71D0A">
        <w:rPr>
          <w:rFonts w:ascii="Arial" w:hAnsi="Arial" w:cs="Arial"/>
          <w:b/>
        </w:rPr>
        <w:t>NORMATIVA.</w:t>
      </w:r>
    </w:p>
    <w:p w14:paraId="4F909435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789292D6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Ley 106 de 1993</w:t>
      </w:r>
    </w:p>
    <w:p w14:paraId="2A1816ED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Ley 716 de 2001 “Por la cual se expiden normas para el saneamiento de la información contable en el sector público y se dictan disposiciones en materia tributaria y otras disposiciones”.</w:t>
      </w:r>
    </w:p>
    <w:p w14:paraId="79344D3F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Ley 1066 de 2006 “Por la cual se dictan normas para la normalización de la cartera pública y se dictan otras disposiciones”.</w:t>
      </w:r>
    </w:p>
    <w:p w14:paraId="66847135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Manual de Crédito y Cartera vigente</w:t>
      </w:r>
    </w:p>
    <w:p w14:paraId="01F7D9E5" w14:textId="77777777" w:rsidR="00B71D0A" w:rsidRPr="00B71D0A" w:rsidRDefault="00B71D0A" w:rsidP="00B71D0A">
      <w:pPr>
        <w:numPr>
          <w:ilvl w:val="0"/>
          <w:numId w:val="1"/>
        </w:numPr>
        <w:spacing w:after="0" w:line="240" w:lineRule="auto"/>
        <w:ind w:left="142"/>
        <w:jc w:val="both"/>
        <w:rPr>
          <w:rFonts w:ascii="Arial" w:hAnsi="Arial" w:cs="Arial"/>
        </w:rPr>
      </w:pPr>
      <w:r w:rsidRPr="00B71D0A">
        <w:rPr>
          <w:rFonts w:ascii="Arial" w:hAnsi="Arial" w:cs="Arial"/>
        </w:rPr>
        <w:t>Resoluciones Superintendencia Financiera tasas de interés.</w:t>
      </w:r>
    </w:p>
    <w:p w14:paraId="1C6EDF4A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478DD18" w14:textId="77777777" w:rsidR="00B71D0A" w:rsidRPr="00B71D0A" w:rsidRDefault="00B71D0A" w:rsidP="00B71D0A">
      <w:pPr>
        <w:numPr>
          <w:ilvl w:val="0"/>
          <w:numId w:val="4"/>
        </w:numPr>
        <w:spacing w:after="0" w:line="240" w:lineRule="auto"/>
        <w:ind w:left="142"/>
        <w:jc w:val="both"/>
        <w:rPr>
          <w:rFonts w:ascii="Arial" w:hAnsi="Arial" w:cs="Arial"/>
          <w:b/>
        </w:rPr>
      </w:pPr>
      <w:r w:rsidRPr="00B71D0A">
        <w:rPr>
          <w:rFonts w:ascii="Arial" w:hAnsi="Arial" w:cs="Arial"/>
          <w:b/>
        </w:rPr>
        <w:t>ANEXOS.</w:t>
      </w:r>
    </w:p>
    <w:p w14:paraId="0BC6CFF1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65240B71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32D7E56A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1F88D48C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5F4ECBCF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CEDB2F1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  <w:b/>
        </w:rPr>
      </w:pPr>
    </w:p>
    <w:p w14:paraId="75F6B338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14466C4C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CB56A4F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06BC5C94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03384142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202C29E4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594FCA0C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507245F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5E0B2D92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DE02ACE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4BD708D6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137AD814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AC0450A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6D257F4D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529191AD" w14:textId="77777777" w:rsidR="00B71D0A" w:rsidRPr="00B71D0A" w:rsidRDefault="00B71D0A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p w14:paraId="358E787C" w14:textId="77777777" w:rsidR="0084241F" w:rsidRPr="00B71D0A" w:rsidRDefault="000745DD" w:rsidP="00B71D0A">
      <w:pPr>
        <w:spacing w:after="0" w:line="240" w:lineRule="auto"/>
        <w:ind w:left="142"/>
        <w:jc w:val="both"/>
        <w:rPr>
          <w:rFonts w:ascii="Arial" w:hAnsi="Arial" w:cs="Arial"/>
        </w:rPr>
      </w:pPr>
    </w:p>
    <w:sectPr w:rsidR="0084241F" w:rsidRPr="00B71D0A" w:rsidSect="0057465B">
      <w:headerReference w:type="default" r:id="rId8"/>
      <w:footerReference w:type="default" r:id="rId9"/>
      <w:pgSz w:w="12250" w:h="15850"/>
      <w:pgMar w:top="1701" w:right="1335" w:bottom="1701" w:left="1985" w:header="709" w:footer="3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355447" w14:textId="77777777" w:rsidR="000745DD" w:rsidRDefault="000745DD" w:rsidP="00B71D0A">
      <w:pPr>
        <w:spacing w:after="0" w:line="240" w:lineRule="auto"/>
      </w:pPr>
      <w:r>
        <w:separator/>
      </w:r>
    </w:p>
  </w:endnote>
  <w:endnote w:type="continuationSeparator" w:id="0">
    <w:p w14:paraId="2C488E86" w14:textId="77777777" w:rsidR="000745DD" w:rsidRDefault="000745DD" w:rsidP="00B71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289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7"/>
      <w:gridCol w:w="2410"/>
      <w:gridCol w:w="2551"/>
    </w:tblGrid>
    <w:tr w:rsidR="0057465B" w:rsidRPr="00F7525F" w14:paraId="6DA90955" w14:textId="77777777" w:rsidTr="003A73D7">
      <w:tc>
        <w:tcPr>
          <w:tcW w:w="453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12BB058" w14:textId="77777777" w:rsidR="006A1565" w:rsidRPr="00B71D0A" w:rsidRDefault="001A21C6" w:rsidP="006A1565">
          <w:pPr>
            <w:tabs>
              <w:tab w:val="center" w:pos="4419"/>
              <w:tab w:val="right" w:pos="8838"/>
            </w:tabs>
            <w:spacing w:line="276" w:lineRule="auto"/>
            <w:rPr>
              <w:rFonts w:ascii="Arial" w:hAnsi="Arial" w:cs="Arial"/>
              <w:b/>
              <w:sz w:val="16"/>
              <w:szCs w:val="16"/>
            </w:rPr>
          </w:pPr>
          <w:r w:rsidRPr="00B71D0A">
            <w:rPr>
              <w:rFonts w:ascii="Arial" w:hAnsi="Arial" w:cs="Arial"/>
              <w:b/>
              <w:sz w:val="16"/>
              <w:szCs w:val="16"/>
            </w:rPr>
            <w:t xml:space="preserve">Elaboró: </w:t>
          </w:r>
        </w:p>
      </w:tc>
      <w:tc>
        <w:tcPr>
          <w:tcW w:w="241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2418D638" w14:textId="77777777" w:rsidR="006A1565" w:rsidRPr="00B71D0A" w:rsidRDefault="001A21C6" w:rsidP="006A1565">
          <w:pPr>
            <w:spacing w:line="0" w:lineRule="atLeast"/>
            <w:rPr>
              <w:rFonts w:ascii="Arial" w:hAnsi="Arial" w:cs="Arial"/>
              <w:b/>
              <w:sz w:val="16"/>
              <w:szCs w:val="16"/>
            </w:rPr>
          </w:pPr>
          <w:r w:rsidRPr="00B71D0A">
            <w:rPr>
              <w:rFonts w:ascii="Arial" w:hAnsi="Arial" w:cs="Arial"/>
              <w:b/>
              <w:sz w:val="16"/>
              <w:szCs w:val="16"/>
            </w:rPr>
            <w:t>Revisó:</w:t>
          </w:r>
        </w:p>
      </w:tc>
      <w:tc>
        <w:tcPr>
          <w:tcW w:w="25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67DEE94C" w14:textId="77777777" w:rsidR="006A1565" w:rsidRPr="00B71D0A" w:rsidRDefault="001A21C6" w:rsidP="006A1565">
          <w:pPr>
            <w:spacing w:line="0" w:lineRule="atLeast"/>
            <w:rPr>
              <w:rFonts w:ascii="Arial" w:hAnsi="Arial" w:cs="Arial"/>
              <w:sz w:val="16"/>
              <w:szCs w:val="16"/>
            </w:rPr>
          </w:pPr>
          <w:r w:rsidRPr="00B71D0A">
            <w:rPr>
              <w:rFonts w:ascii="Arial" w:hAnsi="Arial" w:cs="Arial"/>
              <w:b/>
              <w:sz w:val="16"/>
              <w:szCs w:val="16"/>
            </w:rPr>
            <w:t>Publicación:</w:t>
          </w:r>
        </w:p>
      </w:tc>
    </w:tr>
    <w:tr w:rsidR="006A1565" w:rsidRPr="00F7525F" w14:paraId="488C7DFC" w14:textId="77777777" w:rsidTr="003A73D7">
      <w:trPr>
        <w:trHeight w:val="317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-1002811284"/>
          <w:text/>
        </w:sdtPr>
        <w:sdtEndPr/>
        <w:sdtContent>
          <w:sdt>
            <w:sdtPr>
              <w:rPr>
                <w:rFonts w:ascii="Arial" w:eastAsia="Calibri" w:hAnsi="Arial" w:cs="Arial"/>
                <w:sz w:val="16"/>
              </w:rPr>
              <w:alias w:val="Dependencias que elaboraron o modificaron el procedimiento"/>
              <w:tag w:val="Dependencias que elaboraron o modificaron el procedimiento"/>
              <w:id w:val="370964567"/>
              <w:text/>
            </w:sdtPr>
            <w:sdtEndPr/>
            <w:sdtContent>
              <w:tc>
                <w:tcPr>
                  <w:tcW w:w="4537" w:type="dxa"/>
                  <w:tcBorders>
                    <w:top w:val="single" w:sz="4" w:space="0" w:color="2F5496"/>
                    <w:left w:val="single" w:sz="4" w:space="0" w:color="2F5496"/>
                    <w:bottom w:val="single" w:sz="4" w:space="0" w:color="2F5496"/>
                    <w:right w:val="single" w:sz="4" w:space="0" w:color="2F5496"/>
                  </w:tcBorders>
                  <w:vAlign w:val="center"/>
                  <w:hideMark/>
                </w:tcPr>
                <w:p w14:paraId="08D80455" w14:textId="77777777" w:rsidR="006A1565" w:rsidRPr="00B71D0A" w:rsidRDefault="001A21C6" w:rsidP="006A1565">
                  <w:pPr>
                    <w:spacing w:line="0" w:lineRule="atLeast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 w:rsidRPr="00B71D0A">
                    <w:rPr>
                      <w:rFonts w:ascii="Arial" w:eastAsia="Calibri" w:hAnsi="Arial" w:cs="Arial"/>
                      <w:sz w:val="16"/>
                    </w:rPr>
                    <w:t>Grupo de Gestión de Apoyo Financiero Crédito y Cartera  - Dirección de Desarrollo y Bienestar Social</w:t>
                  </w:r>
                </w:p>
              </w:tc>
            </w:sdtContent>
          </w:sdt>
        </w:sdtContent>
      </w:sdt>
      <w:sdt>
        <w:sdtPr>
          <w:rPr>
            <w:rFonts w:ascii="Arial" w:eastAsia="Calibri" w:hAnsi="Arial" w:cs="Arial"/>
            <w:sz w:val="16"/>
            <w:szCs w:val="16"/>
          </w:rPr>
          <w:alias w:val="Dependencias que revisó"/>
          <w:tag w:val="Dependencias que revisó"/>
          <w:id w:val="688108894"/>
          <w:text/>
        </w:sdtPr>
        <w:sdtEndPr/>
        <w:sdtContent>
          <w:tc>
            <w:tcPr>
              <w:tcW w:w="2410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vAlign w:val="center"/>
              <w:hideMark/>
            </w:tcPr>
            <w:p w14:paraId="622AED7E" w14:textId="77777777" w:rsidR="006A1565" w:rsidRPr="00B71D0A" w:rsidRDefault="001A21C6" w:rsidP="006A1565">
              <w:pPr>
                <w:spacing w:line="0" w:lineRule="atLeast"/>
                <w:rPr>
                  <w:rFonts w:ascii="Arial" w:eastAsia="Calibri" w:hAnsi="Arial" w:cs="Arial"/>
                  <w:sz w:val="16"/>
                  <w:szCs w:val="16"/>
                </w:rPr>
              </w:pPr>
              <w:r w:rsidRPr="00B71D0A">
                <w:rPr>
                  <w:rFonts w:ascii="Arial" w:eastAsia="Calibri" w:hAnsi="Arial" w:cs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5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23E5F8F4" w14:textId="5E3E162E" w:rsidR="006A1565" w:rsidRPr="00B71D0A" w:rsidRDefault="001A21C6" w:rsidP="006A1565">
          <w:pPr>
            <w:spacing w:line="0" w:lineRule="atLeast"/>
            <w:rPr>
              <w:rFonts w:ascii="Arial" w:hAnsi="Arial" w:cs="Arial"/>
              <w:sz w:val="16"/>
              <w:szCs w:val="16"/>
            </w:rPr>
          </w:pPr>
          <w:r w:rsidRPr="00B71D0A">
            <w:rPr>
              <w:rFonts w:ascii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16"/>
              </w:rPr>
              <w:alias w:val="Día de Mes de Año"/>
              <w:tag w:val="Día de Mes de Año"/>
              <w:id w:val="1240291248"/>
              <w:text/>
            </w:sdtPr>
            <w:sdtEndPr/>
            <w:sdtContent>
              <w:r w:rsidR="003A73D7">
                <w:rPr>
                  <w:rFonts w:ascii="Arial" w:eastAsia="Calibri" w:hAnsi="Arial" w:cs="Arial"/>
                  <w:sz w:val="16"/>
                  <w:szCs w:val="16"/>
                </w:rPr>
                <w:t xml:space="preserve">20 de diciembre de </w:t>
              </w:r>
              <w:r w:rsidRPr="00B71D0A">
                <w:rPr>
                  <w:rFonts w:ascii="Arial" w:eastAsia="Calibri" w:hAnsi="Arial" w:cs="Arial"/>
                  <w:sz w:val="16"/>
                  <w:szCs w:val="16"/>
                </w:rPr>
                <w:t>2024</w:t>
              </w:r>
            </w:sdtContent>
          </w:sdt>
        </w:p>
      </w:tc>
    </w:tr>
  </w:tbl>
  <w:p w14:paraId="50CA021D" w14:textId="77777777" w:rsidR="006A1565" w:rsidRPr="00F7525F" w:rsidRDefault="000745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DBB5C9" w14:textId="77777777" w:rsidR="000745DD" w:rsidRDefault="000745DD" w:rsidP="00B71D0A">
      <w:pPr>
        <w:spacing w:after="0" w:line="240" w:lineRule="auto"/>
      </w:pPr>
      <w:r>
        <w:separator/>
      </w:r>
    </w:p>
  </w:footnote>
  <w:footnote w:type="continuationSeparator" w:id="0">
    <w:p w14:paraId="04CC38D6" w14:textId="77777777" w:rsidR="000745DD" w:rsidRDefault="000745DD" w:rsidP="00B71D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28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266"/>
      <w:gridCol w:w="3837"/>
      <w:gridCol w:w="992"/>
      <w:gridCol w:w="1403"/>
    </w:tblGrid>
    <w:tr w:rsidR="006A1565" w:rsidRPr="00F7525F" w14:paraId="4A0B94DD" w14:textId="77777777" w:rsidTr="0057465B">
      <w:trPr>
        <w:trHeight w:val="354"/>
      </w:trPr>
      <w:tc>
        <w:tcPr>
          <w:tcW w:w="326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228F6A51" w14:textId="77777777" w:rsidR="006A1565" w:rsidRPr="00F7525F" w:rsidRDefault="001A21C6" w:rsidP="00B71D0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eastAsia="Calibri" w:cs="Times New Roman"/>
            </w:rPr>
          </w:pPr>
          <w:r w:rsidRPr="00F7525F">
            <w:rPr>
              <w:rFonts w:eastAsia="Calibri" w:cs="Times New Roman"/>
              <w:noProof/>
              <w:lang w:eastAsia="es-CO"/>
            </w:rPr>
            <w:drawing>
              <wp:inline distT="0" distB="0" distL="0" distR="0" wp14:anchorId="036976ED" wp14:editId="00040B3D">
                <wp:extent cx="1624084" cy="382746"/>
                <wp:effectExtent l="0" t="0" r="0" b="0"/>
                <wp:docPr id="31" name="Imagen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4289" cy="3851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3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72EE6E2E" w14:textId="77777777" w:rsidR="006A1565" w:rsidRPr="0057465B" w:rsidRDefault="001A21C6" w:rsidP="00B71D0A">
          <w:pPr>
            <w:tabs>
              <w:tab w:val="center" w:pos="4419"/>
              <w:tab w:val="right" w:pos="8838"/>
            </w:tabs>
            <w:spacing w:after="0" w:line="256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57465B">
            <w:rPr>
              <w:rFonts w:ascii="Arial" w:eastAsia="Calibri" w:hAnsi="Arial" w:cs="Arial"/>
              <w:color w:val="000000"/>
              <w:sz w:val="16"/>
            </w:rPr>
            <w:t>Proceso Gestión Crédito y Cartera</w:t>
          </w:r>
        </w:p>
        <w:p w14:paraId="4005C2DD" w14:textId="77777777" w:rsidR="006A1565" w:rsidRPr="0057465B" w:rsidRDefault="001A21C6" w:rsidP="00B71D0A">
          <w:pPr>
            <w:spacing w:before="1" w:after="0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57465B">
            <w:rPr>
              <w:rFonts w:ascii="Arial" w:eastAsia="Calibri" w:hAnsi="Arial" w:cs="Arial"/>
              <w:color w:val="000000"/>
              <w:sz w:val="16"/>
            </w:rPr>
            <w:t>Procedimiento Administración de la Cartera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8115E58" w14:textId="77777777" w:rsidR="006A1565" w:rsidRPr="0057465B" w:rsidRDefault="001A21C6" w:rsidP="00B71D0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eastAsia="Calibri" w:hAnsi="Arial" w:cs="Arial"/>
              <w:color w:val="000000"/>
              <w:sz w:val="16"/>
            </w:rPr>
          </w:pPr>
          <w:r w:rsidRPr="0057465B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4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0D5D2971" w14:textId="77777777" w:rsidR="006A1565" w:rsidRPr="0057465B" w:rsidRDefault="001A21C6" w:rsidP="00B71D0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eastAsia="Calibri" w:hAnsi="Arial" w:cs="Arial"/>
              <w:color w:val="000000"/>
              <w:sz w:val="16"/>
            </w:rPr>
          </w:pPr>
          <w:r w:rsidRPr="0057465B">
            <w:rPr>
              <w:rFonts w:ascii="Arial" w:eastAsia="Calibri" w:hAnsi="Arial" w:cs="Arial"/>
              <w:color w:val="000000"/>
              <w:sz w:val="16"/>
            </w:rPr>
            <w:t>PT-M-2230-02</w:t>
          </w:r>
        </w:p>
      </w:tc>
    </w:tr>
    <w:tr w:rsidR="006A1565" w:rsidRPr="00F7525F" w14:paraId="1D6C1656" w14:textId="77777777" w:rsidTr="0057465B">
      <w:trPr>
        <w:trHeight w:val="400"/>
      </w:trPr>
      <w:tc>
        <w:tcPr>
          <w:tcW w:w="326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395AC0B2" w14:textId="77777777" w:rsidR="006A1565" w:rsidRPr="00F7525F" w:rsidRDefault="000745DD" w:rsidP="00B71D0A">
          <w:pPr>
            <w:spacing w:after="0" w:line="256" w:lineRule="auto"/>
            <w:rPr>
              <w:rFonts w:eastAsia="Calibri" w:cs="Times New Roman"/>
            </w:rPr>
          </w:pPr>
        </w:p>
      </w:tc>
      <w:tc>
        <w:tcPr>
          <w:tcW w:w="3837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699F4168" w14:textId="77777777" w:rsidR="006A1565" w:rsidRPr="0057465B" w:rsidRDefault="000745DD" w:rsidP="00B71D0A">
          <w:pPr>
            <w:spacing w:after="0" w:line="256" w:lineRule="auto"/>
            <w:rPr>
              <w:rFonts w:ascii="Arial" w:eastAsia="Calibri" w:hAnsi="Arial" w:cs="Arial"/>
              <w:color w:val="000000"/>
              <w:sz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D9D1D55" w14:textId="77777777" w:rsidR="006A1565" w:rsidRPr="0057465B" w:rsidRDefault="001A21C6" w:rsidP="00B71D0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57465B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57465B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40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14:paraId="2F7B0498" w14:textId="724B4B50" w:rsidR="006A1565" w:rsidRPr="0057465B" w:rsidRDefault="003A73D7" w:rsidP="00B71D0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>
            <w:rPr>
              <w:rFonts w:ascii="Arial" w:eastAsia="Calibri" w:hAnsi="Arial" w:cs="Arial"/>
              <w:color w:val="000000"/>
              <w:sz w:val="16"/>
            </w:rPr>
            <w:t>6</w:t>
          </w:r>
        </w:p>
      </w:tc>
    </w:tr>
  </w:tbl>
  <w:p w14:paraId="56A18FEC" w14:textId="77777777" w:rsidR="002F5B6A" w:rsidRPr="00F7525F" w:rsidRDefault="000745DD" w:rsidP="00B71D0A">
    <w:pPr>
      <w:pStyle w:val="Textoindependiente"/>
      <w:spacing w:after="0" w:line="240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60D3B"/>
    <w:multiLevelType w:val="multilevel"/>
    <w:tmpl w:val="8250B22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74581A42"/>
    <w:multiLevelType w:val="multilevel"/>
    <w:tmpl w:val="02944182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  <w:b/>
      </w:rPr>
    </w:lvl>
    <w:lvl w:ilvl="1">
      <w:start w:val="1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7AF31AC8"/>
    <w:multiLevelType w:val="hybridMultilevel"/>
    <w:tmpl w:val="4C54A54C"/>
    <w:lvl w:ilvl="0" w:tplc="D3CAABAA">
      <w:numFmt w:val="bullet"/>
      <w:lvlText w:val=""/>
      <w:lvlJc w:val="left"/>
      <w:pPr>
        <w:ind w:left="90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s-ES" w:bidi="es-ES"/>
      </w:rPr>
    </w:lvl>
    <w:lvl w:ilvl="1" w:tplc="33DE4BB0">
      <w:numFmt w:val="bullet"/>
      <w:lvlText w:val="•"/>
      <w:lvlJc w:val="left"/>
      <w:pPr>
        <w:ind w:left="1860" w:hanging="360"/>
      </w:pPr>
      <w:rPr>
        <w:rFonts w:hint="default"/>
        <w:lang w:val="es-ES" w:eastAsia="es-ES" w:bidi="es-ES"/>
      </w:rPr>
    </w:lvl>
    <w:lvl w:ilvl="2" w:tplc="260E713C">
      <w:numFmt w:val="bullet"/>
      <w:lvlText w:val="•"/>
      <w:lvlJc w:val="left"/>
      <w:pPr>
        <w:ind w:left="2820" w:hanging="360"/>
      </w:pPr>
      <w:rPr>
        <w:rFonts w:hint="default"/>
        <w:lang w:val="es-ES" w:eastAsia="es-ES" w:bidi="es-ES"/>
      </w:rPr>
    </w:lvl>
    <w:lvl w:ilvl="3" w:tplc="AC5A6D2A">
      <w:numFmt w:val="bullet"/>
      <w:lvlText w:val="•"/>
      <w:lvlJc w:val="left"/>
      <w:pPr>
        <w:ind w:left="3780" w:hanging="360"/>
      </w:pPr>
      <w:rPr>
        <w:rFonts w:hint="default"/>
        <w:lang w:val="es-ES" w:eastAsia="es-ES" w:bidi="es-ES"/>
      </w:rPr>
    </w:lvl>
    <w:lvl w:ilvl="4" w:tplc="5D1ED390">
      <w:numFmt w:val="bullet"/>
      <w:lvlText w:val="•"/>
      <w:lvlJc w:val="left"/>
      <w:pPr>
        <w:ind w:left="4740" w:hanging="360"/>
      </w:pPr>
      <w:rPr>
        <w:rFonts w:hint="default"/>
        <w:lang w:val="es-ES" w:eastAsia="es-ES" w:bidi="es-ES"/>
      </w:rPr>
    </w:lvl>
    <w:lvl w:ilvl="5" w:tplc="FC1C7BD4">
      <w:numFmt w:val="bullet"/>
      <w:lvlText w:val="•"/>
      <w:lvlJc w:val="left"/>
      <w:pPr>
        <w:ind w:left="5701" w:hanging="360"/>
      </w:pPr>
      <w:rPr>
        <w:rFonts w:hint="default"/>
        <w:lang w:val="es-ES" w:eastAsia="es-ES" w:bidi="es-ES"/>
      </w:rPr>
    </w:lvl>
    <w:lvl w:ilvl="6" w:tplc="1AC8C3FC">
      <w:numFmt w:val="bullet"/>
      <w:lvlText w:val="•"/>
      <w:lvlJc w:val="left"/>
      <w:pPr>
        <w:ind w:left="6661" w:hanging="360"/>
      </w:pPr>
      <w:rPr>
        <w:rFonts w:hint="default"/>
        <w:lang w:val="es-ES" w:eastAsia="es-ES" w:bidi="es-ES"/>
      </w:rPr>
    </w:lvl>
    <w:lvl w:ilvl="7" w:tplc="2FECD376">
      <w:numFmt w:val="bullet"/>
      <w:lvlText w:val="•"/>
      <w:lvlJc w:val="left"/>
      <w:pPr>
        <w:ind w:left="7621" w:hanging="360"/>
      </w:pPr>
      <w:rPr>
        <w:rFonts w:hint="default"/>
        <w:lang w:val="es-ES" w:eastAsia="es-ES" w:bidi="es-ES"/>
      </w:rPr>
    </w:lvl>
    <w:lvl w:ilvl="8" w:tplc="CCDE14C4">
      <w:numFmt w:val="bullet"/>
      <w:lvlText w:val="•"/>
      <w:lvlJc w:val="left"/>
      <w:pPr>
        <w:ind w:left="8581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7D55017B"/>
    <w:multiLevelType w:val="multilevel"/>
    <w:tmpl w:val="7DE40C90"/>
    <w:lvl w:ilvl="0">
      <w:start w:val="1"/>
      <w:numFmt w:val="decimal"/>
      <w:lvlText w:val="%1."/>
      <w:lvlJc w:val="left"/>
      <w:pPr>
        <w:ind w:left="90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916" w:hanging="375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1984" w:hanging="375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049" w:hanging="375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114" w:hanging="375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178" w:hanging="375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43" w:hanging="375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08" w:hanging="375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372" w:hanging="375"/>
      </w:pPr>
      <w:rPr>
        <w:rFonts w:hint="default"/>
        <w:lang w:val="es-ES" w:eastAsia="es-ES" w:bidi="es-E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D0A"/>
    <w:rsid w:val="000745DD"/>
    <w:rsid w:val="00157A73"/>
    <w:rsid w:val="001A21C6"/>
    <w:rsid w:val="00274914"/>
    <w:rsid w:val="003A73D7"/>
    <w:rsid w:val="003E382B"/>
    <w:rsid w:val="0057465B"/>
    <w:rsid w:val="006573BA"/>
    <w:rsid w:val="007A40E9"/>
    <w:rsid w:val="009D29EA"/>
    <w:rsid w:val="00AA3AC7"/>
    <w:rsid w:val="00B71D0A"/>
    <w:rsid w:val="00BC5D6D"/>
    <w:rsid w:val="00C151D8"/>
    <w:rsid w:val="00CC12EB"/>
    <w:rsid w:val="00D2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2FCBEC"/>
  <w15:chartTrackingRefBased/>
  <w15:docId w15:val="{EDDDD581-FBEE-48ED-A3E3-D527F6A8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B71D0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71D0A"/>
  </w:style>
  <w:style w:type="paragraph" w:styleId="Piedepgina">
    <w:name w:val="footer"/>
    <w:basedOn w:val="Normal"/>
    <w:link w:val="PiedepginaCar"/>
    <w:uiPriority w:val="99"/>
    <w:unhideWhenUsed/>
    <w:rsid w:val="00B71D0A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71D0A"/>
    <w:rPr>
      <w:rFonts w:ascii="Arial" w:eastAsia="Arial" w:hAnsi="Arial" w:cs="Arial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B71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1D0A"/>
  </w:style>
  <w:style w:type="paragraph" w:customStyle="1" w:styleId="TableParagraph">
    <w:name w:val="Table Paragraph"/>
    <w:basedOn w:val="Normal"/>
    <w:uiPriority w:val="1"/>
    <w:qFormat/>
    <w:rsid w:val="0057465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40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40E9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7A40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40E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40E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40E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40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0070C-053A-40FC-877C-BC91A7C48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1920</Words>
  <Characters>10564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Rico Bolivar</dc:creator>
  <cp:keywords/>
  <dc:description/>
  <cp:lastModifiedBy>Jairo Rico Bolívar</cp:lastModifiedBy>
  <cp:revision>2</cp:revision>
  <dcterms:created xsi:type="dcterms:W3CDTF">2024-12-20T14:58:00Z</dcterms:created>
  <dcterms:modified xsi:type="dcterms:W3CDTF">2024-12-20T14:58:00Z</dcterms:modified>
</cp:coreProperties>
</file>